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D1" w:rsidRPr="00D55AD1" w:rsidRDefault="00D55AD1" w:rsidP="00D55AD1">
      <w:pPr>
        <w:shd w:val="clear" w:color="auto" w:fill="FAFCFD"/>
        <w:spacing w:after="0" w:line="312" w:lineRule="auto"/>
        <w:jc w:val="center"/>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201</w:t>
      </w:r>
      <w:r w:rsidR="008A7A5C">
        <w:rPr>
          <w:rFonts w:ascii="Times New Roman" w:eastAsia="Times New Roman" w:hAnsi="Times New Roman" w:cs="Times New Roman"/>
          <w:b/>
          <w:lang w:eastAsia="tr-TR"/>
        </w:rPr>
        <w:t>3</w:t>
      </w:r>
      <w:r w:rsidRPr="00D55AD1">
        <w:rPr>
          <w:rFonts w:ascii="Times New Roman" w:eastAsia="Times New Roman" w:hAnsi="Times New Roman" w:cs="Times New Roman"/>
          <w:b/>
          <w:lang w:eastAsia="tr-TR"/>
        </w:rPr>
        <w:t>-201</w:t>
      </w:r>
      <w:r w:rsidR="008A7A5C">
        <w:rPr>
          <w:rFonts w:ascii="Times New Roman" w:eastAsia="Times New Roman" w:hAnsi="Times New Roman" w:cs="Times New Roman"/>
          <w:b/>
          <w:lang w:eastAsia="tr-TR"/>
        </w:rPr>
        <w:t>4</w:t>
      </w:r>
      <w:r w:rsidRPr="00D55AD1">
        <w:rPr>
          <w:rFonts w:ascii="Times New Roman" w:eastAsia="Times New Roman" w:hAnsi="Times New Roman" w:cs="Times New Roman"/>
          <w:b/>
          <w:lang w:eastAsia="tr-TR"/>
        </w:rPr>
        <w:t xml:space="preserve"> AKADEMİK YILI ERASMUS PERSONEL DERS VERME HAREKETLİLİĞİ (STAFF MOBILITY FOR TEACHING ASSIGNMENTS-STA) BAŞVURU DUYURUSU</w:t>
      </w:r>
    </w:p>
    <w:p w:rsidR="00D55AD1" w:rsidRPr="00D55AD1" w:rsidRDefault="00256964" w:rsidP="00D55AD1">
      <w:pPr>
        <w:pStyle w:val="NormalWeb"/>
        <w:rPr>
          <w:sz w:val="22"/>
          <w:szCs w:val="22"/>
        </w:rPr>
      </w:pPr>
      <w:r>
        <w:rPr>
          <w:rStyle w:val="Gl"/>
          <w:sz w:val="22"/>
          <w:szCs w:val="22"/>
        </w:rPr>
        <w:t xml:space="preserve">İLAN TARİHİ:  </w:t>
      </w:r>
      <w:r w:rsidR="009C0D4E">
        <w:rPr>
          <w:rStyle w:val="Gl"/>
          <w:sz w:val="22"/>
          <w:szCs w:val="22"/>
        </w:rPr>
        <w:t>2</w:t>
      </w:r>
      <w:r w:rsidR="00A7747B">
        <w:rPr>
          <w:rStyle w:val="Gl"/>
          <w:sz w:val="22"/>
          <w:szCs w:val="22"/>
        </w:rPr>
        <w:t>4</w:t>
      </w:r>
      <w:r w:rsidR="009C0D4E">
        <w:rPr>
          <w:rStyle w:val="Gl"/>
          <w:sz w:val="22"/>
          <w:szCs w:val="22"/>
        </w:rPr>
        <w:t xml:space="preserve"> ARALIK 2013</w:t>
      </w:r>
      <w:r w:rsidR="00D55AD1" w:rsidRPr="00D55AD1">
        <w:rPr>
          <w:sz w:val="22"/>
          <w:szCs w:val="22"/>
        </w:rPr>
        <w:br/>
      </w:r>
      <w:r w:rsidR="00D55AD1" w:rsidRPr="00D55AD1">
        <w:rPr>
          <w:rStyle w:val="Gl"/>
          <w:sz w:val="22"/>
          <w:szCs w:val="22"/>
        </w:rPr>
        <w:t xml:space="preserve">SON BAŞVURU TARİHİ: </w:t>
      </w:r>
      <w:r w:rsidR="009C0D4E" w:rsidRPr="009C0D4E">
        <w:rPr>
          <w:rStyle w:val="Gl"/>
          <w:sz w:val="22"/>
          <w:szCs w:val="22"/>
        </w:rPr>
        <w:t>2</w:t>
      </w:r>
      <w:r w:rsidR="00A7747B">
        <w:rPr>
          <w:rStyle w:val="Gl"/>
          <w:sz w:val="22"/>
          <w:szCs w:val="22"/>
        </w:rPr>
        <w:t>4</w:t>
      </w:r>
      <w:r w:rsidR="009C0D4E" w:rsidRPr="009C0D4E">
        <w:rPr>
          <w:rStyle w:val="Gl"/>
          <w:sz w:val="22"/>
          <w:szCs w:val="22"/>
        </w:rPr>
        <w:t xml:space="preserve"> O</w:t>
      </w:r>
      <w:r w:rsidR="009C0D4E">
        <w:rPr>
          <w:rStyle w:val="Gl"/>
          <w:sz w:val="22"/>
          <w:szCs w:val="22"/>
        </w:rPr>
        <w:t>CAK</w:t>
      </w:r>
      <w:r w:rsidR="009C0D4E" w:rsidRPr="009C0D4E">
        <w:rPr>
          <w:rStyle w:val="Gl"/>
          <w:sz w:val="22"/>
          <w:szCs w:val="22"/>
        </w:rPr>
        <w:t xml:space="preserve"> 2014</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201</w:t>
      </w:r>
      <w:r w:rsidR="008A7A5C">
        <w:rPr>
          <w:rFonts w:ascii="Times New Roman" w:eastAsia="Times New Roman" w:hAnsi="Times New Roman" w:cs="Times New Roman"/>
          <w:lang w:eastAsia="tr-TR"/>
        </w:rPr>
        <w:t>3</w:t>
      </w:r>
      <w:r w:rsidRPr="00D55AD1">
        <w:rPr>
          <w:rFonts w:ascii="Times New Roman" w:eastAsia="Times New Roman" w:hAnsi="Times New Roman" w:cs="Times New Roman"/>
          <w:lang w:eastAsia="tr-TR"/>
        </w:rPr>
        <w:t>–201</w:t>
      </w:r>
      <w:r w:rsidR="008A7A5C">
        <w:rPr>
          <w:rFonts w:ascii="Times New Roman" w:eastAsia="Times New Roman" w:hAnsi="Times New Roman" w:cs="Times New Roman"/>
          <w:lang w:eastAsia="tr-TR"/>
        </w:rPr>
        <w:t>4</w:t>
      </w:r>
      <w:r w:rsidRPr="00D55AD1">
        <w:rPr>
          <w:rFonts w:ascii="Times New Roman" w:eastAsia="Times New Roman" w:hAnsi="Times New Roman" w:cs="Times New Roman"/>
          <w:lang w:eastAsia="tr-TR"/>
        </w:rPr>
        <w:t xml:space="preserve"> Akademik Yılında Yüksekokulumuzun </w:t>
      </w:r>
      <w:r w:rsidR="00222F98" w:rsidRPr="00D55AD1">
        <w:rPr>
          <w:rFonts w:ascii="Times New Roman" w:eastAsia="Times New Roman" w:hAnsi="Times New Roman" w:cs="Times New Roman"/>
          <w:lang w:eastAsia="tr-TR"/>
        </w:rPr>
        <w:t xml:space="preserve">Akademik Personeli </w:t>
      </w:r>
      <w:r w:rsidRPr="00D55AD1">
        <w:rPr>
          <w:rFonts w:ascii="Times New Roman" w:eastAsia="Times New Roman" w:hAnsi="Times New Roman" w:cs="Times New Roman"/>
          <w:lang w:eastAsia="tr-TR"/>
        </w:rPr>
        <w:t>Erasmus Ders Verme Hareketliliği (</w:t>
      </w:r>
      <w:proofErr w:type="spellStart"/>
      <w:r w:rsidRPr="00D55AD1">
        <w:rPr>
          <w:rFonts w:ascii="Times New Roman" w:eastAsia="Times New Roman" w:hAnsi="Times New Roman" w:cs="Times New Roman"/>
          <w:lang w:eastAsia="tr-TR"/>
        </w:rPr>
        <w:t>Staff</w:t>
      </w:r>
      <w:proofErr w:type="spellEnd"/>
      <w:r w:rsidRPr="00D55AD1">
        <w:rPr>
          <w:rFonts w:ascii="Times New Roman" w:eastAsia="Times New Roman" w:hAnsi="Times New Roman" w:cs="Times New Roman"/>
          <w:lang w:eastAsia="tr-TR"/>
        </w:rPr>
        <w:t xml:space="preserve"> </w:t>
      </w:r>
      <w:proofErr w:type="spellStart"/>
      <w:r w:rsidRPr="00D55AD1">
        <w:rPr>
          <w:rFonts w:ascii="Times New Roman" w:eastAsia="Times New Roman" w:hAnsi="Times New Roman" w:cs="Times New Roman"/>
          <w:lang w:eastAsia="tr-TR"/>
        </w:rPr>
        <w:t>Mobility</w:t>
      </w:r>
      <w:proofErr w:type="spellEnd"/>
      <w:r w:rsidRPr="00D55AD1">
        <w:rPr>
          <w:rFonts w:ascii="Times New Roman" w:eastAsia="Times New Roman" w:hAnsi="Times New Roman" w:cs="Times New Roman"/>
          <w:lang w:eastAsia="tr-TR"/>
        </w:rPr>
        <w:t xml:space="preserve"> </w:t>
      </w:r>
      <w:proofErr w:type="spellStart"/>
      <w:r w:rsidRPr="00D55AD1">
        <w:rPr>
          <w:rFonts w:ascii="Times New Roman" w:eastAsia="Times New Roman" w:hAnsi="Times New Roman" w:cs="Times New Roman"/>
          <w:lang w:eastAsia="tr-TR"/>
        </w:rPr>
        <w:t>for</w:t>
      </w:r>
      <w:proofErr w:type="spellEnd"/>
      <w:r w:rsidRPr="00D55AD1">
        <w:rPr>
          <w:rFonts w:ascii="Times New Roman" w:eastAsia="Times New Roman" w:hAnsi="Times New Roman" w:cs="Times New Roman"/>
          <w:lang w:eastAsia="tr-TR"/>
        </w:rPr>
        <w:t xml:space="preserve"> </w:t>
      </w:r>
      <w:proofErr w:type="spellStart"/>
      <w:r w:rsidRPr="00D55AD1">
        <w:rPr>
          <w:rFonts w:ascii="Times New Roman" w:eastAsia="Times New Roman" w:hAnsi="Times New Roman" w:cs="Times New Roman"/>
          <w:lang w:eastAsia="tr-TR"/>
        </w:rPr>
        <w:t>Teaching</w:t>
      </w:r>
      <w:proofErr w:type="spellEnd"/>
      <w:r w:rsidRPr="00D55AD1">
        <w:rPr>
          <w:rFonts w:ascii="Times New Roman" w:eastAsia="Times New Roman" w:hAnsi="Times New Roman" w:cs="Times New Roman"/>
          <w:lang w:eastAsia="tr-TR"/>
        </w:rPr>
        <w:t xml:space="preserve"> </w:t>
      </w:r>
      <w:proofErr w:type="spellStart"/>
      <w:r w:rsidRPr="00D55AD1">
        <w:rPr>
          <w:rFonts w:ascii="Times New Roman" w:eastAsia="Times New Roman" w:hAnsi="Times New Roman" w:cs="Times New Roman"/>
          <w:lang w:eastAsia="tr-TR"/>
        </w:rPr>
        <w:t>Assignments</w:t>
      </w:r>
      <w:proofErr w:type="spellEnd"/>
      <w:r w:rsidRPr="00D55AD1">
        <w:rPr>
          <w:rFonts w:ascii="Times New Roman" w:eastAsia="Times New Roman" w:hAnsi="Times New Roman" w:cs="Times New Roman"/>
          <w:lang w:eastAsia="tr-TR"/>
        </w:rPr>
        <w:t xml:space="preserve">-STA) kapsamında anlaşmalı olduğumuz yüksek öğrenim kurumlarında ders vermek üzere yurt dışına gönderilecektir. </w:t>
      </w:r>
    </w:p>
    <w:p w:rsidR="00D55AD1" w:rsidRPr="00D55AD1" w:rsidRDefault="00B2593F" w:rsidP="00B2593F">
      <w:pPr>
        <w:shd w:val="clear" w:color="auto" w:fill="FAFCFD"/>
        <w:tabs>
          <w:tab w:val="left" w:pos="2265"/>
        </w:tabs>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ab/>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Ders </w:t>
      </w:r>
      <w:r w:rsidR="00256964" w:rsidRPr="00D55AD1">
        <w:rPr>
          <w:rFonts w:ascii="Times New Roman" w:eastAsia="Times New Roman" w:hAnsi="Times New Roman" w:cs="Times New Roman"/>
          <w:b/>
          <w:lang w:eastAsia="tr-TR"/>
        </w:rPr>
        <w:t>Verme Hareketliliği</w:t>
      </w:r>
      <w:r w:rsidR="00255504">
        <w:rPr>
          <w:rFonts w:ascii="Times New Roman" w:eastAsia="Times New Roman" w:hAnsi="Times New Roman" w:cs="Times New Roman"/>
          <w:b/>
          <w:lang w:eastAsia="tr-TR"/>
        </w:rPr>
        <w:t>’</w:t>
      </w:r>
      <w:r w:rsidR="00256964" w:rsidRPr="00D55AD1">
        <w:rPr>
          <w:rFonts w:ascii="Times New Roman" w:eastAsia="Times New Roman" w:hAnsi="Times New Roman" w:cs="Times New Roman"/>
          <w:b/>
          <w:lang w:eastAsia="tr-TR"/>
        </w:rPr>
        <w:t>nin Kapsamı:</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roofErr w:type="gramStart"/>
      <w:r w:rsidRPr="00D55AD1">
        <w:rPr>
          <w:rFonts w:ascii="Times New Roman" w:eastAsia="Times New Roman" w:hAnsi="Times New Roman" w:cs="Times New Roman"/>
          <w:lang w:eastAsia="tr-TR"/>
        </w:rPr>
        <w:t xml:space="preserve">Erasmus </w:t>
      </w:r>
      <w:r w:rsidR="00222F98" w:rsidRPr="00D55AD1">
        <w:rPr>
          <w:rFonts w:ascii="Times New Roman" w:eastAsia="Times New Roman" w:hAnsi="Times New Roman" w:cs="Times New Roman"/>
          <w:lang w:eastAsia="tr-TR"/>
        </w:rPr>
        <w:t xml:space="preserve">Personel Ders Verme Hareketliliği </w:t>
      </w:r>
      <w:r w:rsidRPr="00D55AD1">
        <w:rPr>
          <w:rFonts w:ascii="Times New Roman" w:eastAsia="Times New Roman" w:hAnsi="Times New Roman" w:cs="Times New Roman"/>
          <w:lang w:eastAsia="tr-TR"/>
        </w:rPr>
        <w:t>Türkiye’de EÜB</w:t>
      </w:r>
      <w:r w:rsidR="00A7747B">
        <w:rPr>
          <w:rFonts w:ascii="Times New Roman" w:eastAsia="Times New Roman" w:hAnsi="Times New Roman" w:cs="Times New Roman"/>
          <w:lang w:eastAsia="tr-TR"/>
        </w:rPr>
        <w:t xml:space="preserve"> (</w:t>
      </w:r>
      <w:proofErr w:type="spellStart"/>
      <w:r w:rsidR="00A7747B">
        <w:rPr>
          <w:rFonts w:ascii="Times New Roman" w:eastAsia="Times New Roman" w:hAnsi="Times New Roman" w:cs="Times New Roman"/>
          <w:lang w:eastAsia="tr-TR"/>
        </w:rPr>
        <w:t>Erasmus</w:t>
      </w:r>
      <w:proofErr w:type="spellEnd"/>
      <w:r w:rsidR="00A7747B">
        <w:rPr>
          <w:rFonts w:ascii="Times New Roman" w:eastAsia="Times New Roman" w:hAnsi="Times New Roman" w:cs="Times New Roman"/>
          <w:lang w:eastAsia="tr-TR"/>
        </w:rPr>
        <w:t xml:space="preserve"> Üniversite Beyannamesi)</w:t>
      </w:r>
      <w:r w:rsidRPr="00D55AD1">
        <w:rPr>
          <w:rFonts w:ascii="Times New Roman" w:eastAsia="Times New Roman" w:hAnsi="Times New Roman" w:cs="Times New Roman"/>
          <w:lang w:eastAsia="tr-TR"/>
        </w:rPr>
        <w:t xml:space="preserve"> sahibi bir yükseköğretim kurumunda ders vermekle yükümlü olan bir personelin en az 5 saat ders vermek şartı ile AB üye ülkelerinden birinde EÜB sahibi bir yükseköğretim kurumunda öğrencilere ders vermesine ve ders vermeye ilişkin olarak karşı kurumla ortaklaşa akademik/eğitsel faaliyetler gerçekleştirmesine </w:t>
      </w:r>
      <w:r w:rsidR="00256964">
        <w:rPr>
          <w:rFonts w:ascii="Times New Roman" w:eastAsia="Times New Roman" w:hAnsi="Times New Roman" w:cs="Times New Roman"/>
          <w:lang w:eastAsia="tr-TR"/>
        </w:rPr>
        <w:t xml:space="preserve">olanak </w:t>
      </w:r>
      <w:r w:rsidRPr="00D55AD1">
        <w:rPr>
          <w:rFonts w:ascii="Times New Roman" w:eastAsia="Times New Roman" w:hAnsi="Times New Roman" w:cs="Times New Roman"/>
          <w:lang w:eastAsia="tr-TR"/>
        </w:rPr>
        <w:t>sağlayan faaliyet alanıdır.</w:t>
      </w:r>
      <w:proofErr w:type="gramEnd"/>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Ders Verme Hareketliliği</w:t>
      </w:r>
      <w:r w:rsidR="00255504">
        <w:rPr>
          <w:rFonts w:ascii="Times New Roman" w:eastAsia="Times New Roman" w:hAnsi="Times New Roman" w:cs="Times New Roman"/>
          <w:b/>
          <w:lang w:eastAsia="tr-TR"/>
        </w:rPr>
        <w:t>’</w:t>
      </w:r>
      <w:r w:rsidRPr="00D55AD1">
        <w:rPr>
          <w:rFonts w:ascii="Times New Roman" w:eastAsia="Times New Roman" w:hAnsi="Times New Roman" w:cs="Times New Roman"/>
          <w:b/>
          <w:lang w:eastAsia="tr-TR"/>
        </w:rPr>
        <w:t>ne Katılabilmek için Gerekli Şartlar</w:t>
      </w:r>
      <w:r w:rsidR="00AA3DFE">
        <w:rPr>
          <w:rFonts w:ascii="Times New Roman" w:eastAsia="Times New Roman" w:hAnsi="Times New Roman" w:cs="Times New Roman"/>
          <w:b/>
          <w:lang w:eastAsia="tr-TR"/>
        </w:rPr>
        <w:t>:</w:t>
      </w: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Kimler </w:t>
      </w:r>
      <w:r w:rsidR="00256964" w:rsidRPr="00D55AD1">
        <w:rPr>
          <w:rFonts w:ascii="Times New Roman" w:eastAsia="Times New Roman" w:hAnsi="Times New Roman" w:cs="Times New Roman"/>
          <w:b/>
          <w:lang w:eastAsia="tr-TR"/>
        </w:rPr>
        <w:t xml:space="preserve">Başvurabilir?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Beykoz Lojistik Meslek Yüksekokulu’nda tam / yarı zamanlı statüde resmen istihdam edilen: </w:t>
      </w:r>
    </w:p>
    <w:p w:rsidR="00D55AD1" w:rsidRPr="00256964" w:rsidRDefault="00AA3DFE" w:rsidP="00D55AD1">
      <w:pPr>
        <w:pStyle w:val="ListeParagraf"/>
        <w:numPr>
          <w:ilvl w:val="0"/>
          <w:numId w:val="2"/>
        </w:num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Akademik Personel</w:t>
      </w: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 </w:t>
      </w: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Faydalanmak </w:t>
      </w:r>
      <w:r w:rsidR="00256964" w:rsidRPr="00D55AD1">
        <w:rPr>
          <w:rFonts w:ascii="Times New Roman" w:eastAsia="Times New Roman" w:hAnsi="Times New Roman" w:cs="Times New Roman"/>
          <w:b/>
          <w:lang w:eastAsia="tr-TR"/>
        </w:rPr>
        <w:t xml:space="preserve">İsteyen Personelin Tabiiyeti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Türkiye Cumhuriyeti vatandaşı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Başka ülkelerin vatandaşı olmakla birlikte Beykoz Lojistik Meslek Yüksekokulu’nda ilgili yasalar ve mevzuatlar çerçevesinde çalışan personel</w:t>
      </w: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 </w:t>
      </w:r>
    </w:p>
    <w:p w:rsidR="00D55AD1" w:rsidRPr="00D55AD1"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Nerede </w:t>
      </w:r>
      <w:r w:rsidR="00256964" w:rsidRPr="00D55AD1">
        <w:rPr>
          <w:rFonts w:ascii="Times New Roman" w:eastAsia="Times New Roman" w:hAnsi="Times New Roman" w:cs="Times New Roman"/>
          <w:b/>
          <w:lang w:eastAsia="tr-TR"/>
        </w:rPr>
        <w:t xml:space="preserve">Ders Verebilir?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Erasmus Üniversite Beyannamesi (EÜB - Erasmus Charter) sahibi ve Beykoz Lojistik Meslek Yüksekokulu ile </w:t>
      </w:r>
      <w:proofErr w:type="spellStart"/>
      <w:r w:rsidRPr="00D55AD1">
        <w:rPr>
          <w:rFonts w:ascii="Times New Roman" w:eastAsia="Times New Roman" w:hAnsi="Times New Roman" w:cs="Times New Roman"/>
          <w:lang w:eastAsia="tr-TR"/>
        </w:rPr>
        <w:t>kurumlararası</w:t>
      </w:r>
      <w:proofErr w:type="spellEnd"/>
      <w:r w:rsidRPr="00D55AD1">
        <w:rPr>
          <w:rFonts w:ascii="Times New Roman" w:eastAsia="Times New Roman" w:hAnsi="Times New Roman" w:cs="Times New Roman"/>
          <w:lang w:eastAsia="tr-TR"/>
        </w:rPr>
        <w:t xml:space="preserve"> anlaşması olan yüksek öğretim kurumlarında. </w:t>
      </w:r>
    </w:p>
    <w:p w:rsidR="00D55AD1" w:rsidRPr="006663E6" w:rsidRDefault="00D55AD1" w:rsidP="00AA3DFE">
      <w:pPr>
        <w:pStyle w:val="ListeParagraf"/>
        <w:numPr>
          <w:ilvl w:val="0"/>
          <w:numId w:val="2"/>
        </w:numPr>
        <w:shd w:val="clear" w:color="auto" w:fill="FAFCFD"/>
        <w:spacing w:after="0" w:line="312" w:lineRule="auto"/>
        <w:jc w:val="both"/>
        <w:outlineLvl w:val="1"/>
        <w:rPr>
          <w:rFonts w:ascii="Times New Roman" w:eastAsia="Times New Roman" w:hAnsi="Times New Roman" w:cs="Times New Roman"/>
          <w:lang w:eastAsia="tr-TR"/>
        </w:rPr>
      </w:pPr>
      <w:r w:rsidRPr="00AA3DFE">
        <w:rPr>
          <w:rFonts w:ascii="Times New Roman" w:eastAsia="Times New Roman" w:hAnsi="Times New Roman" w:cs="Times New Roman"/>
          <w:lang w:eastAsia="tr-TR"/>
        </w:rPr>
        <w:t xml:space="preserve">Yüksekokulumuzun anlaşmalı </w:t>
      </w:r>
      <w:r w:rsidR="00A32F7B">
        <w:rPr>
          <w:rFonts w:ascii="Times New Roman" w:eastAsia="Times New Roman" w:hAnsi="Times New Roman" w:cs="Times New Roman"/>
          <w:lang w:eastAsia="tr-TR"/>
        </w:rPr>
        <w:t xml:space="preserve">olduğu </w:t>
      </w:r>
      <w:r w:rsidRPr="00AA3DFE">
        <w:rPr>
          <w:rFonts w:ascii="Times New Roman" w:eastAsia="Times New Roman" w:hAnsi="Times New Roman" w:cs="Times New Roman"/>
          <w:lang w:eastAsia="tr-TR"/>
        </w:rPr>
        <w:t xml:space="preserve">kurumların listesi için </w:t>
      </w:r>
      <w:hyperlink r:id="rId7" w:history="1">
        <w:r w:rsidR="006663E6" w:rsidRPr="005057BE">
          <w:rPr>
            <w:rStyle w:val="Kpr"/>
            <w:rFonts w:ascii="Times New Roman" w:eastAsia="Times New Roman" w:hAnsi="Times New Roman" w:cs="Times New Roman"/>
            <w:b/>
            <w:lang w:eastAsia="tr-TR"/>
          </w:rPr>
          <w:t>http://www.ui.beykoz.edu.tr/</w:t>
        </w:r>
      </w:hyperlink>
    </w:p>
    <w:p w:rsidR="006663E6" w:rsidRDefault="006663E6" w:rsidP="006663E6">
      <w:pPr>
        <w:shd w:val="clear" w:color="auto" w:fill="FAFCFD"/>
        <w:spacing w:after="0" w:line="312" w:lineRule="auto"/>
        <w:jc w:val="both"/>
        <w:outlineLvl w:val="1"/>
        <w:rPr>
          <w:rFonts w:ascii="Times New Roman" w:eastAsia="Times New Roman" w:hAnsi="Times New Roman" w:cs="Times New Roman"/>
          <w:lang w:eastAsia="tr-TR"/>
        </w:rPr>
      </w:pPr>
    </w:p>
    <w:p w:rsidR="006663E6" w:rsidRPr="006663E6" w:rsidRDefault="006663E6" w:rsidP="006663E6">
      <w:pPr>
        <w:shd w:val="clear" w:color="auto" w:fill="FAFCFD"/>
        <w:spacing w:after="0" w:line="312" w:lineRule="auto"/>
        <w:jc w:val="both"/>
        <w:outlineLvl w:val="1"/>
        <w:rPr>
          <w:rFonts w:ascii="Times New Roman" w:eastAsia="Times New Roman" w:hAnsi="Times New Roman" w:cs="Times New Roman"/>
          <w:lang w:eastAsia="tr-TR"/>
        </w:rPr>
      </w:pPr>
      <w:r w:rsidRPr="006663E6">
        <w:rPr>
          <w:rFonts w:ascii="Times New Roman" w:eastAsia="Times New Roman" w:hAnsi="Times New Roman" w:cs="Times New Roman"/>
          <w:lang w:eastAsia="tr-TR"/>
        </w:rPr>
        <w:t>Aynı yükseköğretim kurumuna aynı süre içerisinde yalnızca 1 Akademik Personel tarafından Ders Verme Hareketliliği Faaliyeti gerçekleştirilebilir.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Akademik Personel Der</w:t>
      </w:r>
      <w:r w:rsidR="00256964">
        <w:rPr>
          <w:rFonts w:ascii="Times New Roman" w:eastAsia="Times New Roman" w:hAnsi="Times New Roman" w:cs="Times New Roman"/>
          <w:lang w:eastAsia="tr-TR"/>
        </w:rPr>
        <w:t>s Verme Hareketliliği için bir a</w:t>
      </w:r>
      <w:r w:rsidRPr="00D55AD1">
        <w:rPr>
          <w:rFonts w:ascii="Times New Roman" w:eastAsia="Times New Roman" w:hAnsi="Times New Roman" w:cs="Times New Roman"/>
          <w:lang w:eastAsia="tr-TR"/>
        </w:rPr>
        <w:t>kademik personel ile Personel Eğitim Alma Hareketliliği Faaliyeti için bir</w:t>
      </w:r>
      <w:r w:rsidR="00A17C1E">
        <w:rPr>
          <w:rFonts w:ascii="Times New Roman" w:eastAsia="Times New Roman" w:hAnsi="Times New Roman" w:cs="Times New Roman"/>
          <w:lang w:eastAsia="tr-TR"/>
        </w:rPr>
        <w:t>/birden fazla</w:t>
      </w:r>
      <w:r w:rsidRPr="00D55AD1">
        <w:rPr>
          <w:rFonts w:ascii="Times New Roman" w:eastAsia="Times New Roman" w:hAnsi="Times New Roman" w:cs="Times New Roman"/>
          <w:lang w:eastAsia="tr-TR"/>
        </w:rPr>
        <w:t xml:space="preserve"> idari personel aynı süre içinde aynı yüksek öğretim kurumunun ilgili birimlerinde söz konusu faaliyetleri gerçekleştirebilir. </w:t>
      </w: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8A7A5C" w:rsidRDefault="008A7A5C" w:rsidP="00D55AD1">
      <w:pPr>
        <w:shd w:val="clear" w:color="auto" w:fill="FAFCFD"/>
        <w:spacing w:after="0" w:line="312" w:lineRule="auto"/>
        <w:jc w:val="both"/>
        <w:outlineLvl w:val="1"/>
        <w:rPr>
          <w:rFonts w:ascii="Times New Roman" w:eastAsia="Times New Roman" w:hAnsi="Times New Roman" w:cs="Times New Roman"/>
          <w:lang w:eastAsia="tr-TR"/>
        </w:rPr>
      </w:pPr>
    </w:p>
    <w:p w:rsidR="008A7A5C" w:rsidRDefault="008A7A5C" w:rsidP="00D55AD1">
      <w:pPr>
        <w:shd w:val="clear" w:color="auto" w:fill="FAFCFD"/>
        <w:spacing w:after="0" w:line="312" w:lineRule="auto"/>
        <w:jc w:val="both"/>
        <w:outlineLvl w:val="1"/>
        <w:rPr>
          <w:rFonts w:ascii="Times New Roman" w:eastAsia="Times New Roman" w:hAnsi="Times New Roman" w:cs="Times New Roman"/>
          <w:lang w:eastAsia="tr-TR"/>
        </w:rPr>
      </w:pPr>
    </w:p>
    <w:p w:rsidR="008A7A5C" w:rsidRPr="00D55AD1" w:rsidRDefault="008A7A5C"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lastRenderedPageBreak/>
        <w:t>Hibe Miktarı</w:t>
      </w:r>
      <w:r w:rsidR="00D603AB">
        <w:rPr>
          <w:rFonts w:ascii="Times New Roman" w:eastAsia="Times New Roman" w:hAnsi="Times New Roman" w:cs="Times New Roman"/>
          <w:b/>
          <w:lang w:eastAsia="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2241"/>
        <w:gridCol w:w="2241"/>
        <w:gridCol w:w="2242"/>
      </w:tblGrid>
      <w:tr w:rsidR="00D55AD1" w:rsidRPr="00D55AD1" w:rsidTr="00255C49">
        <w:trPr>
          <w:trHeight w:val="104"/>
        </w:trPr>
        <w:tc>
          <w:tcPr>
            <w:tcW w:w="8965" w:type="dxa"/>
            <w:gridSpan w:val="4"/>
          </w:tcPr>
          <w:p w:rsidR="00D55AD1" w:rsidRPr="00D55AD1" w:rsidRDefault="00256964" w:rsidP="00255C49">
            <w:pPr>
              <w:pStyle w:val="Default"/>
              <w:rPr>
                <w:color w:val="auto"/>
                <w:sz w:val="22"/>
                <w:szCs w:val="22"/>
              </w:rPr>
            </w:pPr>
            <w:r>
              <w:rPr>
                <w:color w:val="auto"/>
                <w:sz w:val="22"/>
                <w:szCs w:val="22"/>
              </w:rPr>
              <w:t>Akademik Personel Ders Verme H</w:t>
            </w:r>
            <w:r w:rsidR="00D55AD1" w:rsidRPr="00D55AD1">
              <w:rPr>
                <w:color w:val="auto"/>
                <w:sz w:val="22"/>
                <w:szCs w:val="22"/>
              </w:rPr>
              <w:t>areketliliği</w:t>
            </w:r>
            <w:r w:rsidR="00A17C1E">
              <w:rPr>
                <w:color w:val="auto"/>
                <w:sz w:val="22"/>
                <w:szCs w:val="22"/>
              </w:rPr>
              <w:t>’</w:t>
            </w:r>
            <w:r w:rsidR="00D55AD1" w:rsidRPr="00D55AD1">
              <w:rPr>
                <w:color w:val="auto"/>
                <w:sz w:val="22"/>
                <w:szCs w:val="22"/>
              </w:rPr>
              <w:t>nden faydalanacak personele verilecek olan günlük/haftalık hibe miktarı gidilen ülke ile birlikte gidilen süreye göre aşağıdaki tabloda belirtilen tutarlar dikkate alınarak hesaplanır. Tabloda gösterilen miktarlar Avro cinsindendir. Seyahat ve vize ücreti hariç</w:t>
            </w:r>
            <w:r w:rsidR="00A32F7B">
              <w:rPr>
                <w:color w:val="auto"/>
                <w:sz w:val="22"/>
                <w:szCs w:val="22"/>
              </w:rPr>
              <w:t>tir.</w:t>
            </w:r>
          </w:p>
        </w:tc>
      </w:tr>
      <w:tr w:rsidR="00D55AD1" w:rsidRPr="00D55AD1" w:rsidTr="00255C49">
        <w:trPr>
          <w:trHeight w:val="236"/>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Ülkeler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Günlük hibe miktarı (€)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İki haftalık hibe miktarı (€)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İlave haftalar </w:t>
            </w:r>
          </w:p>
          <w:p w:rsidR="00D55AD1" w:rsidRPr="00D55AD1" w:rsidRDefault="00D55AD1" w:rsidP="00255C49">
            <w:pPr>
              <w:pStyle w:val="Default"/>
              <w:rPr>
                <w:color w:val="auto"/>
                <w:sz w:val="22"/>
                <w:szCs w:val="22"/>
              </w:rPr>
            </w:pPr>
            <w:r w:rsidRPr="00D55AD1">
              <w:rPr>
                <w:color w:val="auto"/>
                <w:sz w:val="22"/>
                <w:szCs w:val="22"/>
              </w:rPr>
              <w:t xml:space="preserve">(3-6 hafta arası) (€)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Almanya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112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1,098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125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Avusturya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126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1,235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141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Belçika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119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1,166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133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Bulgaristan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77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755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86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Çek Cumhuriyeti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105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1,029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118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Danimarka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161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1,578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181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proofErr w:type="spellStart"/>
            <w:r w:rsidRPr="00D55AD1">
              <w:rPr>
                <w:color w:val="auto"/>
                <w:sz w:val="22"/>
                <w:szCs w:val="22"/>
              </w:rPr>
              <w:t>Estonya</w:t>
            </w:r>
            <w:proofErr w:type="spellEnd"/>
            <w:r w:rsidRPr="00D55AD1">
              <w:rPr>
                <w:color w:val="auto"/>
                <w:sz w:val="22"/>
                <w:szCs w:val="22"/>
              </w:rPr>
              <w:t xml:space="preserve">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892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102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Finlandiya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147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1,441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165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Fransa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140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1,372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157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Güney Kıbrıs Rum Kesimi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105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1,029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118 </w:t>
            </w:r>
          </w:p>
        </w:tc>
      </w:tr>
      <w:tr w:rsidR="008C4A43" w:rsidRPr="00D55AD1" w:rsidTr="00255C49">
        <w:trPr>
          <w:trHeight w:val="104"/>
        </w:trPr>
        <w:tc>
          <w:tcPr>
            <w:tcW w:w="2241" w:type="dxa"/>
          </w:tcPr>
          <w:p w:rsidR="008C4A43" w:rsidRPr="00D55AD1" w:rsidRDefault="008C4A43" w:rsidP="00255C49">
            <w:pPr>
              <w:pStyle w:val="Default"/>
              <w:rPr>
                <w:color w:val="auto"/>
                <w:sz w:val="22"/>
                <w:szCs w:val="22"/>
              </w:rPr>
            </w:pPr>
            <w:r>
              <w:rPr>
                <w:color w:val="auto"/>
                <w:sz w:val="22"/>
                <w:szCs w:val="22"/>
              </w:rPr>
              <w:t>Hırvatistan</w:t>
            </w:r>
          </w:p>
        </w:tc>
        <w:tc>
          <w:tcPr>
            <w:tcW w:w="2241" w:type="dxa"/>
          </w:tcPr>
          <w:p w:rsidR="008C4A43" w:rsidRPr="00D55AD1" w:rsidRDefault="008C4A43" w:rsidP="00255C49">
            <w:pPr>
              <w:pStyle w:val="Default"/>
              <w:rPr>
                <w:color w:val="auto"/>
                <w:sz w:val="22"/>
                <w:szCs w:val="22"/>
              </w:rPr>
            </w:pPr>
            <w:r>
              <w:rPr>
                <w:color w:val="auto"/>
                <w:sz w:val="22"/>
                <w:szCs w:val="22"/>
              </w:rPr>
              <w:t>112</w:t>
            </w:r>
          </w:p>
        </w:tc>
        <w:tc>
          <w:tcPr>
            <w:tcW w:w="2241" w:type="dxa"/>
          </w:tcPr>
          <w:p w:rsidR="008C4A43" w:rsidRPr="00D55AD1" w:rsidRDefault="008C4A43" w:rsidP="00255C49">
            <w:pPr>
              <w:pStyle w:val="Default"/>
              <w:rPr>
                <w:color w:val="auto"/>
                <w:sz w:val="22"/>
                <w:szCs w:val="22"/>
              </w:rPr>
            </w:pPr>
            <w:r>
              <w:rPr>
                <w:color w:val="auto"/>
                <w:sz w:val="22"/>
                <w:szCs w:val="22"/>
              </w:rPr>
              <w:t>1,098</w:t>
            </w:r>
          </w:p>
        </w:tc>
        <w:tc>
          <w:tcPr>
            <w:tcW w:w="2242" w:type="dxa"/>
          </w:tcPr>
          <w:p w:rsidR="008C4A43" w:rsidRPr="00D55AD1" w:rsidRDefault="008C4A43" w:rsidP="00255C49">
            <w:pPr>
              <w:pStyle w:val="Default"/>
              <w:rPr>
                <w:color w:val="auto"/>
                <w:sz w:val="22"/>
                <w:szCs w:val="22"/>
              </w:rPr>
            </w:pPr>
            <w:r>
              <w:rPr>
                <w:color w:val="auto"/>
                <w:sz w:val="22"/>
                <w:szCs w:val="22"/>
              </w:rPr>
              <w:t>125</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Hollanda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126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1,235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141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İngiltere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161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1,578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181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İrlanda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133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1,303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149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İspanya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119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1,166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133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İsveç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147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1,441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165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İtalya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133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1,303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149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Letonya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892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102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proofErr w:type="spellStart"/>
            <w:r w:rsidRPr="00D55AD1">
              <w:rPr>
                <w:color w:val="auto"/>
                <w:sz w:val="22"/>
                <w:szCs w:val="22"/>
              </w:rPr>
              <w:t>Litvanya</w:t>
            </w:r>
            <w:proofErr w:type="spellEnd"/>
            <w:r w:rsidRPr="00D55AD1">
              <w:rPr>
                <w:color w:val="auto"/>
                <w:sz w:val="22"/>
                <w:szCs w:val="22"/>
              </w:rPr>
              <w:t xml:space="preserve">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892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102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Lüksemburg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119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1,166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133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Macaristan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98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960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110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Malta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98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960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110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Polonya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91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892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102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Portekiz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105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1,029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118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Romanya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84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823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94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Slovak Cumhuriyeti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98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960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110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Slovenya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112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1,098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125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Türkiye*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98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960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110 </w:t>
            </w:r>
          </w:p>
        </w:tc>
      </w:tr>
      <w:tr w:rsidR="00D55AD1" w:rsidRPr="00D55AD1" w:rsidTr="00255C49">
        <w:trPr>
          <w:trHeight w:val="104"/>
        </w:trPr>
        <w:tc>
          <w:tcPr>
            <w:tcW w:w="2241" w:type="dxa"/>
          </w:tcPr>
          <w:p w:rsidR="00D55AD1" w:rsidRPr="00D55AD1" w:rsidRDefault="00D55AD1" w:rsidP="00255C49">
            <w:pPr>
              <w:pStyle w:val="Default"/>
              <w:rPr>
                <w:color w:val="auto"/>
                <w:sz w:val="22"/>
                <w:szCs w:val="22"/>
              </w:rPr>
            </w:pPr>
            <w:r w:rsidRPr="00D55AD1">
              <w:rPr>
                <w:color w:val="auto"/>
                <w:sz w:val="22"/>
                <w:szCs w:val="22"/>
              </w:rPr>
              <w:t xml:space="preserve">Yunanistan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112 </w:t>
            </w:r>
          </w:p>
        </w:tc>
        <w:tc>
          <w:tcPr>
            <w:tcW w:w="2241" w:type="dxa"/>
          </w:tcPr>
          <w:p w:rsidR="00D55AD1" w:rsidRPr="00D55AD1" w:rsidRDefault="00D55AD1" w:rsidP="00255C49">
            <w:pPr>
              <w:pStyle w:val="Default"/>
              <w:rPr>
                <w:color w:val="auto"/>
                <w:sz w:val="22"/>
                <w:szCs w:val="22"/>
              </w:rPr>
            </w:pPr>
            <w:r w:rsidRPr="00D55AD1">
              <w:rPr>
                <w:color w:val="auto"/>
                <w:sz w:val="22"/>
                <w:szCs w:val="22"/>
              </w:rPr>
              <w:t xml:space="preserve">1,098 </w:t>
            </w:r>
          </w:p>
        </w:tc>
        <w:tc>
          <w:tcPr>
            <w:tcW w:w="2242" w:type="dxa"/>
          </w:tcPr>
          <w:p w:rsidR="00D55AD1" w:rsidRPr="00D55AD1" w:rsidRDefault="00D55AD1" w:rsidP="00255C49">
            <w:pPr>
              <w:pStyle w:val="Default"/>
              <w:rPr>
                <w:color w:val="auto"/>
                <w:sz w:val="22"/>
                <w:szCs w:val="22"/>
              </w:rPr>
            </w:pPr>
            <w:r w:rsidRPr="00D55AD1">
              <w:rPr>
                <w:color w:val="auto"/>
                <w:sz w:val="22"/>
                <w:szCs w:val="22"/>
              </w:rPr>
              <w:t xml:space="preserve">125 </w:t>
            </w:r>
          </w:p>
        </w:tc>
      </w:tr>
    </w:tbl>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hAnsi="Times New Roman" w:cs="Times New Roman"/>
        </w:rPr>
        <w:t xml:space="preserve">* </w:t>
      </w:r>
      <w:r w:rsidRPr="00D55AD1">
        <w:rPr>
          <w:rFonts w:ascii="Times New Roman" w:eastAsia="Times New Roman" w:hAnsi="Times New Roman" w:cs="Times New Roman"/>
          <w:lang w:eastAsia="tr-TR"/>
        </w:rPr>
        <w:t>Yalnızca yurtdışındaki bir işletmeden ders vermek üzere davet edilen personel için kullanılmaktadır.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p>
    <w:p w:rsidR="00D55AD1" w:rsidRDefault="00256964"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Akademik </w:t>
      </w:r>
      <w:r w:rsidR="00D55AD1" w:rsidRPr="00D55AD1">
        <w:rPr>
          <w:rFonts w:ascii="Times New Roman" w:eastAsia="Times New Roman" w:hAnsi="Times New Roman" w:cs="Times New Roman"/>
          <w:lang w:eastAsia="tr-TR"/>
        </w:rPr>
        <w:t xml:space="preserve">Personel </w:t>
      </w:r>
      <w:r>
        <w:rPr>
          <w:rFonts w:ascii="Times New Roman" w:eastAsia="Times New Roman" w:hAnsi="Times New Roman" w:cs="Times New Roman"/>
          <w:lang w:eastAsia="tr-TR"/>
        </w:rPr>
        <w:t>Ders Verme H</w:t>
      </w:r>
      <w:r w:rsidR="00D55AD1" w:rsidRPr="00D55AD1">
        <w:rPr>
          <w:rFonts w:ascii="Times New Roman" w:eastAsia="Times New Roman" w:hAnsi="Times New Roman" w:cs="Times New Roman"/>
          <w:lang w:eastAsia="tr-TR"/>
        </w:rPr>
        <w:t>areketliliği</w:t>
      </w:r>
      <w:r w:rsidR="00A17C1E">
        <w:rPr>
          <w:rFonts w:ascii="Times New Roman" w:eastAsia="Times New Roman" w:hAnsi="Times New Roman" w:cs="Times New Roman"/>
          <w:lang w:eastAsia="tr-TR"/>
        </w:rPr>
        <w:t>’</w:t>
      </w:r>
      <w:r w:rsidR="00D55AD1" w:rsidRPr="00D55AD1">
        <w:rPr>
          <w:rFonts w:ascii="Times New Roman" w:eastAsia="Times New Roman" w:hAnsi="Times New Roman" w:cs="Times New Roman"/>
          <w:lang w:eastAsia="tr-TR"/>
        </w:rPr>
        <w:t>nden faydalanan personele verilen hibe katkı niteliğinde olup; yurtdışında geçirilen döneme ilişkin masrafların tamamını karşılamaya yönelik değildir.</w:t>
      </w:r>
    </w:p>
    <w:p w:rsidR="00AA3DFE" w:rsidRPr="00D55AD1" w:rsidRDefault="00AA3DFE"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256964"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Akademik </w:t>
      </w:r>
      <w:r w:rsidRPr="00D55AD1">
        <w:rPr>
          <w:rFonts w:ascii="Times New Roman" w:eastAsia="Times New Roman" w:hAnsi="Times New Roman" w:cs="Times New Roman"/>
          <w:lang w:eastAsia="tr-TR"/>
        </w:rPr>
        <w:t xml:space="preserve">Personel </w:t>
      </w:r>
      <w:r>
        <w:rPr>
          <w:rFonts w:ascii="Times New Roman" w:eastAsia="Times New Roman" w:hAnsi="Times New Roman" w:cs="Times New Roman"/>
          <w:lang w:eastAsia="tr-TR"/>
        </w:rPr>
        <w:t>Ders Verme H</w:t>
      </w:r>
      <w:r w:rsidRPr="00D55AD1">
        <w:rPr>
          <w:rFonts w:ascii="Times New Roman" w:eastAsia="Times New Roman" w:hAnsi="Times New Roman" w:cs="Times New Roman"/>
          <w:lang w:eastAsia="tr-TR"/>
        </w:rPr>
        <w:t>areketliliği</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 xml:space="preserve">nden </w:t>
      </w:r>
      <w:r w:rsidR="00D55AD1" w:rsidRPr="00D55AD1">
        <w:rPr>
          <w:rFonts w:ascii="Times New Roman" w:eastAsia="Times New Roman" w:hAnsi="Times New Roman" w:cs="Times New Roman"/>
          <w:lang w:eastAsia="tr-TR"/>
        </w:rPr>
        <w:t xml:space="preserve">faydalanan yükseköğretim kurumu personelinin ve </w:t>
      </w:r>
      <w:r w:rsidR="00255504" w:rsidRPr="00D55AD1">
        <w:rPr>
          <w:rFonts w:ascii="Times New Roman" w:eastAsia="Times New Roman" w:hAnsi="Times New Roman" w:cs="Times New Roman"/>
          <w:lang w:eastAsia="tr-TR"/>
        </w:rPr>
        <w:t xml:space="preserve">Ders Verme Hareketliliği </w:t>
      </w:r>
      <w:r w:rsidR="00D55AD1" w:rsidRPr="00D55AD1">
        <w:rPr>
          <w:rFonts w:ascii="Times New Roman" w:eastAsia="Times New Roman" w:hAnsi="Times New Roman" w:cs="Times New Roman"/>
          <w:lang w:eastAsia="tr-TR"/>
        </w:rPr>
        <w:t xml:space="preserve">faaliyeti kapsamında yurtdışındaki bir işletmeden davet edilen personelin hak ettiği hibenin hesaplanması, Türkiye’deki yükseköğretim kurumu tarafından, </w:t>
      </w:r>
      <w:r w:rsidR="008A7A5C">
        <w:rPr>
          <w:rFonts w:ascii="Times New Roman" w:eastAsia="Times New Roman" w:hAnsi="Times New Roman" w:cs="Times New Roman"/>
          <w:lang w:eastAsia="tr-TR"/>
        </w:rPr>
        <w:t>Türk Ulusal Ajans</w:t>
      </w:r>
      <w:r w:rsidR="00A32F7B">
        <w:rPr>
          <w:rFonts w:ascii="Times New Roman" w:eastAsia="Times New Roman" w:hAnsi="Times New Roman" w:cs="Times New Roman"/>
          <w:lang w:eastAsia="tr-TR"/>
        </w:rPr>
        <w:t>’</w:t>
      </w:r>
      <w:r w:rsidR="008A7A5C">
        <w:rPr>
          <w:rFonts w:ascii="Times New Roman" w:eastAsia="Times New Roman" w:hAnsi="Times New Roman" w:cs="Times New Roman"/>
          <w:lang w:eastAsia="tr-TR"/>
        </w:rPr>
        <w:t>ı</w:t>
      </w:r>
      <w:r w:rsidR="00A32F7B">
        <w:rPr>
          <w:rFonts w:ascii="Times New Roman" w:eastAsia="Times New Roman" w:hAnsi="Times New Roman" w:cs="Times New Roman"/>
          <w:lang w:eastAsia="tr-TR"/>
        </w:rPr>
        <w:t xml:space="preserve">nca </w:t>
      </w:r>
      <w:r w:rsidR="00D55AD1" w:rsidRPr="00D55AD1">
        <w:rPr>
          <w:rFonts w:ascii="Times New Roman" w:eastAsia="Times New Roman" w:hAnsi="Times New Roman" w:cs="Times New Roman"/>
          <w:lang w:eastAsia="tr-TR"/>
        </w:rPr>
        <w:t>tarafından belirlenen hibe hesaplama kuralları çerçevesinde yapılır.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256964"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Akademik </w:t>
      </w:r>
      <w:r w:rsidRPr="00D55AD1">
        <w:rPr>
          <w:rFonts w:ascii="Times New Roman" w:eastAsia="Times New Roman" w:hAnsi="Times New Roman" w:cs="Times New Roman"/>
          <w:lang w:eastAsia="tr-TR"/>
        </w:rPr>
        <w:t xml:space="preserve">Personel </w:t>
      </w:r>
      <w:r>
        <w:rPr>
          <w:rFonts w:ascii="Times New Roman" w:eastAsia="Times New Roman" w:hAnsi="Times New Roman" w:cs="Times New Roman"/>
          <w:lang w:eastAsia="tr-TR"/>
        </w:rPr>
        <w:t>Ders Verme H</w:t>
      </w:r>
      <w:r w:rsidRPr="00D55AD1">
        <w:rPr>
          <w:rFonts w:ascii="Times New Roman" w:eastAsia="Times New Roman" w:hAnsi="Times New Roman" w:cs="Times New Roman"/>
          <w:lang w:eastAsia="tr-TR"/>
        </w:rPr>
        <w:t>areketliliği</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 xml:space="preserve">nden </w:t>
      </w:r>
      <w:r w:rsidR="00D55AD1" w:rsidRPr="00D55AD1">
        <w:rPr>
          <w:rFonts w:ascii="Times New Roman" w:eastAsia="Times New Roman" w:hAnsi="Times New Roman" w:cs="Times New Roman"/>
          <w:lang w:eastAsia="tr-TR"/>
        </w:rPr>
        <w:t xml:space="preserve">faydalanan personelin sözleşmesinde yazan toplam hibenin ödemesi 2 taksitte yapılır. İlk ödeme belirlenen toplam hibenin %80’i oranında olur. Faaliyet </w:t>
      </w:r>
      <w:r w:rsidR="00D55AD1" w:rsidRPr="00D55AD1">
        <w:rPr>
          <w:rFonts w:ascii="Times New Roman" w:eastAsia="Times New Roman" w:hAnsi="Times New Roman" w:cs="Times New Roman"/>
          <w:lang w:eastAsia="tr-TR"/>
        </w:rPr>
        <w:lastRenderedPageBreak/>
        <w:t>dönemi sonunda, yararlanıcı tarafın</w:t>
      </w:r>
      <w:r w:rsidR="00A17C1E">
        <w:rPr>
          <w:rFonts w:ascii="Times New Roman" w:eastAsia="Times New Roman" w:hAnsi="Times New Roman" w:cs="Times New Roman"/>
          <w:lang w:eastAsia="tr-TR"/>
        </w:rPr>
        <w:t xml:space="preserve">dan </w:t>
      </w:r>
      <w:r w:rsidR="00371D1B">
        <w:rPr>
          <w:rFonts w:ascii="Times New Roman" w:eastAsia="Times New Roman" w:hAnsi="Times New Roman" w:cs="Times New Roman"/>
          <w:lang w:eastAsia="tr-TR"/>
        </w:rPr>
        <w:t xml:space="preserve">Uluslararası </w:t>
      </w:r>
      <w:r w:rsidR="00A17C1E">
        <w:rPr>
          <w:rFonts w:ascii="Times New Roman" w:eastAsia="Times New Roman" w:hAnsi="Times New Roman" w:cs="Times New Roman"/>
          <w:lang w:eastAsia="tr-TR"/>
        </w:rPr>
        <w:t>O</w:t>
      </w:r>
      <w:r w:rsidR="00D55AD1" w:rsidRPr="00D55AD1">
        <w:rPr>
          <w:rFonts w:ascii="Times New Roman" w:eastAsia="Times New Roman" w:hAnsi="Times New Roman" w:cs="Times New Roman"/>
          <w:lang w:eastAsia="tr-TR"/>
        </w:rPr>
        <w:t>fis</w:t>
      </w:r>
      <w:r w:rsidR="00A17C1E">
        <w:rPr>
          <w:rFonts w:ascii="Times New Roman" w:eastAsia="Times New Roman" w:hAnsi="Times New Roman" w:cs="Times New Roman"/>
          <w:lang w:eastAsia="tr-TR"/>
        </w:rPr>
        <w:t>’</w:t>
      </w:r>
      <w:r w:rsidR="00D55AD1" w:rsidRPr="00D55AD1">
        <w:rPr>
          <w:rFonts w:ascii="Times New Roman" w:eastAsia="Times New Roman" w:hAnsi="Times New Roman" w:cs="Times New Roman"/>
          <w:lang w:eastAsia="tr-TR"/>
        </w:rPr>
        <w:t>e teslim edilen öğretim/eğitim programı, katılım sertifikası ve seyahat giderini gösterir belgeler birlikte değerlendirilerek ikinci ödeme miktarı belirlenir. İkinci ödemenin yapılabilmesi için personelin gerekli evrakı (katılım sertifikası, seyahat gideri gösterir belg</w:t>
      </w:r>
      <w:r w:rsidR="00A17C1E">
        <w:rPr>
          <w:rFonts w:ascii="Times New Roman" w:eastAsia="Times New Roman" w:hAnsi="Times New Roman" w:cs="Times New Roman"/>
          <w:lang w:eastAsia="tr-TR"/>
        </w:rPr>
        <w:t xml:space="preserve">eler ve faaliyet nihai raporu) </w:t>
      </w:r>
      <w:r w:rsidR="00371D1B">
        <w:rPr>
          <w:rFonts w:ascii="Times New Roman" w:eastAsia="Times New Roman" w:hAnsi="Times New Roman" w:cs="Times New Roman"/>
          <w:lang w:eastAsia="tr-TR"/>
        </w:rPr>
        <w:t xml:space="preserve">Uluslararası </w:t>
      </w:r>
      <w:r w:rsidR="00A17C1E">
        <w:rPr>
          <w:rFonts w:ascii="Times New Roman" w:eastAsia="Times New Roman" w:hAnsi="Times New Roman" w:cs="Times New Roman"/>
          <w:lang w:eastAsia="tr-TR"/>
        </w:rPr>
        <w:t>O</w:t>
      </w:r>
      <w:r w:rsidR="00D55AD1" w:rsidRPr="00D55AD1">
        <w:rPr>
          <w:rFonts w:ascii="Times New Roman" w:eastAsia="Times New Roman" w:hAnsi="Times New Roman" w:cs="Times New Roman"/>
          <w:lang w:eastAsia="tr-TR"/>
        </w:rPr>
        <w:t>fis</w:t>
      </w:r>
      <w:r w:rsidR="00A17C1E">
        <w:rPr>
          <w:rFonts w:ascii="Times New Roman" w:eastAsia="Times New Roman" w:hAnsi="Times New Roman" w:cs="Times New Roman"/>
          <w:lang w:eastAsia="tr-TR"/>
        </w:rPr>
        <w:t>’</w:t>
      </w:r>
      <w:r w:rsidR="00D55AD1" w:rsidRPr="00D55AD1">
        <w:rPr>
          <w:rFonts w:ascii="Times New Roman" w:eastAsia="Times New Roman" w:hAnsi="Times New Roman" w:cs="Times New Roman"/>
          <w:lang w:eastAsia="tr-TR"/>
        </w:rPr>
        <w:t>e teslim etmesi gerekmektedir.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222F98"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Akademik </w:t>
      </w:r>
      <w:r w:rsidRPr="00D55AD1">
        <w:rPr>
          <w:rFonts w:ascii="Times New Roman" w:eastAsia="Times New Roman" w:hAnsi="Times New Roman" w:cs="Times New Roman"/>
          <w:lang w:eastAsia="tr-TR"/>
        </w:rPr>
        <w:t xml:space="preserve">Personel </w:t>
      </w:r>
      <w:r>
        <w:rPr>
          <w:rFonts w:ascii="Times New Roman" w:eastAsia="Times New Roman" w:hAnsi="Times New Roman" w:cs="Times New Roman"/>
          <w:lang w:eastAsia="tr-TR"/>
        </w:rPr>
        <w:t>Ders Verme H</w:t>
      </w:r>
      <w:r w:rsidRPr="00D55AD1">
        <w:rPr>
          <w:rFonts w:ascii="Times New Roman" w:eastAsia="Times New Roman" w:hAnsi="Times New Roman" w:cs="Times New Roman"/>
          <w:lang w:eastAsia="tr-TR"/>
        </w:rPr>
        <w:t>areketliliği</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 xml:space="preserve">nden </w:t>
      </w:r>
      <w:r w:rsidR="00D55AD1" w:rsidRPr="00D55AD1">
        <w:rPr>
          <w:rFonts w:ascii="Times New Roman" w:eastAsia="Times New Roman" w:hAnsi="Times New Roman" w:cs="Times New Roman"/>
          <w:lang w:eastAsia="tr-TR"/>
        </w:rPr>
        <w:t>faydalanacak personel ile yükseköğretim kurumu arasında imzalanacak sözleşmede yer alacak toplam hibe miktarı, taraflarca onaylanmış öğretim/eğitim programı ve tahmini seyahat gideri dikkate alınarak belirlenir.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Hibe ödemeleri vergi kesintilerine tabi tutulmaksızın, Avro olarak yapılır.</w:t>
      </w:r>
    </w:p>
    <w:p w:rsidR="00371D1B" w:rsidRDefault="00371D1B" w:rsidP="00D55AD1">
      <w:pPr>
        <w:shd w:val="clear" w:color="auto" w:fill="FAFCFD"/>
        <w:spacing w:after="0" w:line="312" w:lineRule="auto"/>
        <w:jc w:val="both"/>
        <w:outlineLvl w:val="1"/>
        <w:rPr>
          <w:rFonts w:ascii="Times New Roman" w:eastAsia="Times New Roman" w:hAnsi="Times New Roman" w:cs="Times New Roman"/>
          <w:lang w:eastAsia="tr-TR"/>
        </w:rPr>
      </w:pPr>
    </w:p>
    <w:p w:rsidR="00371D1B" w:rsidRPr="00D55AD1" w:rsidRDefault="00371D1B"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Seyahati</w:t>
      </w:r>
      <w:r w:rsidR="00A32F7B">
        <w:rPr>
          <w:rFonts w:ascii="Times New Roman" w:eastAsia="Times New Roman" w:hAnsi="Times New Roman" w:cs="Times New Roman"/>
          <w:lang w:eastAsia="tr-TR"/>
        </w:rPr>
        <w:t>n</w:t>
      </w:r>
      <w:r>
        <w:rPr>
          <w:rFonts w:ascii="Times New Roman" w:eastAsia="Times New Roman" w:hAnsi="Times New Roman" w:cs="Times New Roman"/>
          <w:lang w:eastAsia="tr-TR"/>
        </w:rPr>
        <w:t xml:space="preserve"> gerçekleştir</w:t>
      </w:r>
      <w:r w:rsidR="00A32F7B">
        <w:rPr>
          <w:rFonts w:ascii="Times New Roman" w:eastAsia="Times New Roman" w:hAnsi="Times New Roman" w:cs="Times New Roman"/>
          <w:lang w:eastAsia="tr-TR"/>
        </w:rPr>
        <w:t>ildiği</w:t>
      </w:r>
      <w:r>
        <w:rPr>
          <w:rFonts w:ascii="Times New Roman" w:eastAsia="Times New Roman" w:hAnsi="Times New Roman" w:cs="Times New Roman"/>
          <w:lang w:eastAsia="tr-TR"/>
        </w:rPr>
        <w:t xml:space="preserve"> günler için </w:t>
      </w:r>
      <w:r w:rsidR="00794E5E">
        <w:rPr>
          <w:rFonts w:ascii="Times New Roman" w:eastAsia="Times New Roman" w:hAnsi="Times New Roman" w:cs="Times New Roman"/>
          <w:lang w:eastAsia="tr-TR"/>
        </w:rPr>
        <w:t xml:space="preserve">(seyahat belgeli ile desteklendiği takdirde ve gidiş için 1, dönüş için ½ olmak üzere toplamda 1,5 günden fazla olmamak şartı ile) hibe ödemesi yapılır. </w:t>
      </w: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4C19E5" w:rsidRPr="004C19E5" w:rsidRDefault="004C19E5" w:rsidP="004C19E5">
      <w:pPr>
        <w:shd w:val="clear" w:color="auto" w:fill="FAFCFD"/>
        <w:spacing w:after="0" w:line="312" w:lineRule="auto"/>
        <w:jc w:val="both"/>
        <w:outlineLvl w:val="1"/>
        <w:rPr>
          <w:rFonts w:ascii="Times New Roman" w:eastAsia="Times New Roman" w:hAnsi="Times New Roman" w:cs="Times New Roman"/>
          <w:lang w:eastAsia="tr-TR"/>
        </w:rPr>
      </w:pPr>
      <w:r w:rsidRPr="004C19E5">
        <w:rPr>
          <w:rFonts w:ascii="Times New Roman" w:eastAsia="Times New Roman" w:hAnsi="Times New Roman" w:cs="Times New Roman"/>
          <w:lang w:eastAsia="tr-TR"/>
        </w:rPr>
        <w:t>Hem faaliyet hem seyahat gerçekleştirilen günler için sadece 1 günlük gündelik ödemesi yapılabilir. Bu gün dönüş günü ise ½ ora</w:t>
      </w:r>
      <w:r w:rsidR="00794E5E">
        <w:rPr>
          <w:rFonts w:ascii="Times New Roman" w:eastAsia="Times New Roman" w:hAnsi="Times New Roman" w:cs="Times New Roman"/>
          <w:lang w:eastAsia="tr-TR"/>
        </w:rPr>
        <w:t>nında günlük hibe ödemesi yapılır.</w:t>
      </w:r>
      <w:r w:rsidRPr="004C19E5">
        <w:rPr>
          <w:rFonts w:ascii="Times New Roman" w:eastAsia="Times New Roman" w:hAnsi="Times New Roman" w:cs="Times New Roman"/>
          <w:lang w:eastAsia="tr-TR"/>
        </w:rPr>
        <w:t xml:space="preserve"> </w:t>
      </w:r>
    </w:p>
    <w:p w:rsidR="00256964" w:rsidRPr="00D55AD1" w:rsidRDefault="00256964"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İsteyen personel </w:t>
      </w:r>
      <w:r w:rsidR="00255504" w:rsidRPr="00D55AD1">
        <w:rPr>
          <w:rFonts w:ascii="Times New Roman" w:eastAsia="Times New Roman" w:hAnsi="Times New Roman" w:cs="Times New Roman"/>
          <w:lang w:eastAsia="tr-TR"/>
        </w:rPr>
        <w:t>Ders Verme Hareketliliği</w:t>
      </w:r>
      <w:r w:rsidR="00255504">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 xml:space="preserve">nden hibesiz olarak faydalanabilir.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Faaliyetin gerçekleşmediği durumlarda yararlanıcıya herhangi bir hibe ödemesi yapılmaz.</w:t>
      </w:r>
    </w:p>
    <w:p w:rsidR="00AA3DFE" w:rsidRPr="00D55AD1" w:rsidRDefault="00AA3DFE"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8C4A43"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2013</w:t>
      </w:r>
      <w:r w:rsidR="00D55AD1" w:rsidRPr="00D55AD1">
        <w:rPr>
          <w:rFonts w:ascii="Times New Roman" w:eastAsia="Times New Roman" w:hAnsi="Times New Roman" w:cs="Times New Roman"/>
          <w:lang w:eastAsia="tr-TR"/>
        </w:rPr>
        <w:t>-201</w:t>
      </w:r>
      <w:r>
        <w:rPr>
          <w:rFonts w:ascii="Times New Roman" w:eastAsia="Times New Roman" w:hAnsi="Times New Roman" w:cs="Times New Roman"/>
          <w:lang w:eastAsia="tr-TR"/>
        </w:rPr>
        <w:t>4</w:t>
      </w:r>
      <w:r w:rsidR="00D55AD1" w:rsidRPr="00D55AD1">
        <w:rPr>
          <w:rFonts w:ascii="Times New Roman" w:eastAsia="Times New Roman" w:hAnsi="Times New Roman" w:cs="Times New Roman"/>
          <w:lang w:eastAsia="tr-TR"/>
        </w:rPr>
        <w:t xml:space="preserve"> </w:t>
      </w:r>
      <w:proofErr w:type="spellStart"/>
      <w:r w:rsidR="00D55AD1" w:rsidRPr="00D55AD1">
        <w:rPr>
          <w:rFonts w:ascii="Times New Roman" w:eastAsia="Times New Roman" w:hAnsi="Times New Roman" w:cs="Times New Roman"/>
          <w:lang w:eastAsia="tr-TR"/>
        </w:rPr>
        <w:t>Erasmus</w:t>
      </w:r>
      <w:proofErr w:type="spellEnd"/>
      <w:r w:rsidR="00D55AD1" w:rsidRPr="00D55AD1">
        <w:rPr>
          <w:rFonts w:ascii="Times New Roman" w:eastAsia="Times New Roman" w:hAnsi="Times New Roman" w:cs="Times New Roman"/>
          <w:lang w:eastAsia="tr-TR"/>
        </w:rPr>
        <w:t xml:space="preserve"> Uygulama </w:t>
      </w:r>
      <w:r w:rsidR="00A17C1E">
        <w:rPr>
          <w:rFonts w:ascii="Times New Roman" w:eastAsia="Times New Roman" w:hAnsi="Times New Roman" w:cs="Times New Roman"/>
          <w:lang w:eastAsia="tr-TR"/>
        </w:rPr>
        <w:t>El K</w:t>
      </w:r>
      <w:r w:rsidR="00D55AD1" w:rsidRPr="00D55AD1">
        <w:rPr>
          <w:rFonts w:ascii="Times New Roman" w:eastAsia="Times New Roman" w:hAnsi="Times New Roman" w:cs="Times New Roman"/>
          <w:lang w:eastAsia="tr-TR"/>
        </w:rPr>
        <w:t>itabı</w:t>
      </w:r>
      <w:r w:rsidR="00A17C1E">
        <w:rPr>
          <w:rFonts w:ascii="Times New Roman" w:eastAsia="Times New Roman" w:hAnsi="Times New Roman" w:cs="Times New Roman"/>
          <w:lang w:eastAsia="tr-TR"/>
        </w:rPr>
        <w:t>’</w:t>
      </w:r>
      <w:r w:rsidR="00D55AD1" w:rsidRPr="00D55AD1">
        <w:rPr>
          <w:rFonts w:ascii="Times New Roman" w:eastAsia="Times New Roman" w:hAnsi="Times New Roman" w:cs="Times New Roman"/>
          <w:lang w:eastAsia="tr-TR"/>
        </w:rPr>
        <w:t>nda belirtilen ödeme kalemleri dışındaki harcamalar yararlanıcıya aittir.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Seyahat gideri gösteren belgeler Avro’dan farklı bir para birimi üzerinden ise, kur çevrimi yükseköğretim kurumu ile </w:t>
      </w:r>
      <w:r w:rsidR="00222F98">
        <w:rPr>
          <w:rFonts w:ascii="Times New Roman" w:eastAsia="Times New Roman" w:hAnsi="Times New Roman" w:cs="Times New Roman"/>
          <w:lang w:eastAsia="tr-TR"/>
        </w:rPr>
        <w:t>Ulusal Ajans</w:t>
      </w:r>
      <w:r w:rsidRPr="00D55AD1">
        <w:rPr>
          <w:rFonts w:ascii="Times New Roman" w:eastAsia="Times New Roman" w:hAnsi="Times New Roman" w:cs="Times New Roman"/>
          <w:lang w:eastAsia="tr-TR"/>
        </w:rPr>
        <w:t xml:space="preserve"> arasında imzalanan sözleşmede belirtildiği şekilde yapılarak, ödeme Avro cinsinden gerçekleştirilir.</w:t>
      </w:r>
    </w:p>
    <w:p w:rsidR="00AA3DFE" w:rsidRPr="00D55AD1" w:rsidRDefault="00AA3DFE"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Hibe hesaplamaları sonucunda elde edilen ondalıklı hibe miktarlarının ödeme işlemlerinde oluşturabileceği sıkıntılar sebebiyle, yapılan hesaplamalar neticesinde ortaya çıkan ondalıklı hibe miktarlarının ondalık kısım dikkate alınmaksızın ödenmesi mümkündür.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r w:rsidRPr="00D55AD1">
        <w:rPr>
          <w:rFonts w:ascii="Times New Roman" w:eastAsia="Times New Roman" w:hAnsi="Times New Roman" w:cs="Times New Roman"/>
          <w:b/>
          <w:lang w:eastAsia="tr-TR"/>
        </w:rPr>
        <w:t xml:space="preserve">Seyahat </w:t>
      </w:r>
      <w:r w:rsidR="00256964" w:rsidRPr="00D55AD1">
        <w:rPr>
          <w:rFonts w:ascii="Times New Roman" w:eastAsia="Times New Roman" w:hAnsi="Times New Roman" w:cs="Times New Roman"/>
          <w:b/>
          <w:lang w:eastAsia="tr-TR"/>
        </w:rPr>
        <w:t>Gideri Ödemeleri:</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Seyahat giderleri gerçekleşme değerleri üzerinden ve Uygulama El Kitabı’nda belirlenen kurallar çerçevesinde ödenir.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Seyahat ile ilgili </w:t>
      </w:r>
      <w:r w:rsidR="00256964">
        <w:rPr>
          <w:rFonts w:ascii="Times New Roman" w:eastAsia="Times New Roman" w:hAnsi="Times New Roman" w:cs="Times New Roman"/>
          <w:lang w:eastAsia="tr-TR"/>
        </w:rPr>
        <w:t xml:space="preserve">belgelerin asıllarının </w:t>
      </w:r>
      <w:r w:rsidR="00F14A6C">
        <w:rPr>
          <w:rFonts w:ascii="Times New Roman" w:eastAsia="Times New Roman" w:hAnsi="Times New Roman" w:cs="Times New Roman"/>
          <w:lang w:eastAsia="tr-TR"/>
        </w:rPr>
        <w:t>Uluslararası</w:t>
      </w:r>
      <w:r w:rsidR="00256964">
        <w:rPr>
          <w:rFonts w:ascii="Times New Roman" w:eastAsia="Times New Roman" w:hAnsi="Times New Roman" w:cs="Times New Roman"/>
          <w:lang w:eastAsia="tr-TR"/>
        </w:rPr>
        <w:t xml:space="preserve"> O</w:t>
      </w:r>
      <w:r w:rsidRPr="00D55AD1">
        <w:rPr>
          <w:rFonts w:ascii="Times New Roman" w:eastAsia="Times New Roman" w:hAnsi="Times New Roman" w:cs="Times New Roman"/>
          <w:lang w:eastAsia="tr-TR"/>
        </w:rPr>
        <w:t>fis</w:t>
      </w:r>
      <w:r w:rsidR="00256964">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 xml:space="preserve">e tesliminden sonra </w:t>
      </w:r>
      <w:proofErr w:type="spellStart"/>
      <w:r w:rsidRPr="00D55AD1">
        <w:rPr>
          <w:rFonts w:ascii="Times New Roman" w:eastAsia="Times New Roman" w:hAnsi="Times New Roman" w:cs="Times New Roman"/>
          <w:lang w:eastAsia="tr-TR"/>
        </w:rPr>
        <w:t>Erasmus</w:t>
      </w:r>
      <w:proofErr w:type="spellEnd"/>
      <w:r w:rsidRPr="00D55AD1">
        <w:rPr>
          <w:rFonts w:ascii="Times New Roman" w:eastAsia="Times New Roman" w:hAnsi="Times New Roman" w:cs="Times New Roman"/>
          <w:lang w:eastAsia="tr-TR"/>
        </w:rPr>
        <w:t xml:space="preserve"> Uygulama El Kitabı’ndan belirlenen kurallar dâhilinde uygun bulunan seyahat giderlerinin 400 €’ya kadar olan bölümü tamamen, 400 €’</w:t>
      </w:r>
      <w:proofErr w:type="spellStart"/>
      <w:r w:rsidRPr="00D55AD1">
        <w:rPr>
          <w:rFonts w:ascii="Times New Roman" w:eastAsia="Times New Roman" w:hAnsi="Times New Roman" w:cs="Times New Roman"/>
          <w:lang w:eastAsia="tr-TR"/>
        </w:rPr>
        <w:t>yu</w:t>
      </w:r>
      <w:proofErr w:type="spellEnd"/>
      <w:r w:rsidRPr="00D55AD1">
        <w:rPr>
          <w:rFonts w:ascii="Times New Roman" w:eastAsia="Times New Roman" w:hAnsi="Times New Roman" w:cs="Times New Roman"/>
          <w:lang w:eastAsia="tr-TR"/>
        </w:rPr>
        <w:t xml:space="preserve"> aşan bölümü ise %50 oranında karşılanır. Geri kalan hibenin yararlanıcı tarafından veya kurumun Erasmus dışındaki bir bütçesinden karşılanması beklenmektedir.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lastRenderedPageBreak/>
        <w:t>Şehir içi ulaşıma ait seyahat giderleri karşılanmaz. Kişi bu giderlerini kendisine verilen günlük/haftalık hibeden karşılamak durumundadır.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Seyahatin ekonomik seyahat alternatifleri kullanılarak gerçekleştirilmiş olması gerekir. Aksi takdirde ilgili gider uygun seyahat gideri olarak kabul edilmez.</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256964" w:rsidP="00D55AD1">
      <w:pPr>
        <w:shd w:val="clear" w:color="auto" w:fill="FAFCFD"/>
        <w:spacing w:after="0" w:line="312" w:lineRule="auto"/>
        <w:jc w:val="both"/>
        <w:outlineLvl w:val="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Akademik </w:t>
      </w:r>
      <w:r w:rsidRPr="00D55AD1">
        <w:rPr>
          <w:rFonts w:ascii="Times New Roman" w:eastAsia="Times New Roman" w:hAnsi="Times New Roman" w:cs="Times New Roman"/>
          <w:lang w:eastAsia="tr-TR"/>
        </w:rPr>
        <w:t xml:space="preserve">Personel </w:t>
      </w:r>
      <w:r>
        <w:rPr>
          <w:rFonts w:ascii="Times New Roman" w:eastAsia="Times New Roman" w:hAnsi="Times New Roman" w:cs="Times New Roman"/>
          <w:lang w:eastAsia="tr-TR"/>
        </w:rPr>
        <w:t>Ders Verme Hareketliliği</w:t>
      </w:r>
      <w:r w:rsidR="00A17C1E">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ne </w:t>
      </w:r>
      <w:r w:rsidR="00D55AD1" w:rsidRPr="00D55AD1">
        <w:rPr>
          <w:rFonts w:ascii="Times New Roman" w:eastAsia="Times New Roman" w:hAnsi="Times New Roman" w:cs="Times New Roman"/>
          <w:lang w:eastAsia="tr-TR"/>
        </w:rPr>
        <w:t>katılan personelin, ikamet ettiği şehirden faaliyet gerçekleştireceği şehre kadar olan ulaşımında ve dönüş istikametinde, gerek ülkeler gerek şehirlerarası toplu taşıma araçlarına ait ulaşım giderleri ulaşımın ekonomik sınıflarda gerçekleştirilmiş ve belgelendirilmiş olması şartı ile uygun seyahat gideri olarak kabul edilir.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Seyahat edilecek ulaşım aracının personelin kendisinden kaynaklanan sebeplerle kaçırılması, ertelenmesi, iptali vb. durumlardan doğabilecek ilave ücretler uygun gider olarak kabul edilmez. </w:t>
      </w:r>
    </w:p>
    <w:p w:rsidR="00D603AB" w:rsidRPr="00D55AD1" w:rsidRDefault="00D603AB"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Toplu taşıma araçlarını kullanmayıp, kendi özel aracı ile ulaşımını sağlayan personele fatura karşılığında benzin ücreti ödenmez.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Araç kiralama giderleri uygun gider değildir. </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Giriş-çıkış harçları ve vize ücretleri ödeme yapıldığını gösteren belgelerin</w:t>
      </w:r>
      <w:r w:rsidR="00A17C1E">
        <w:rPr>
          <w:rFonts w:ascii="Times New Roman" w:eastAsia="Times New Roman" w:hAnsi="Times New Roman" w:cs="Times New Roman"/>
          <w:lang w:eastAsia="tr-TR"/>
        </w:rPr>
        <w:t xml:space="preserve"> asıllarının </w:t>
      </w:r>
      <w:r w:rsidR="00794E5E">
        <w:rPr>
          <w:rFonts w:ascii="Times New Roman" w:eastAsia="Times New Roman" w:hAnsi="Times New Roman" w:cs="Times New Roman"/>
          <w:lang w:eastAsia="tr-TR"/>
        </w:rPr>
        <w:t xml:space="preserve">Uluslar arası </w:t>
      </w:r>
      <w:r w:rsidR="00A17C1E">
        <w:rPr>
          <w:rFonts w:ascii="Times New Roman" w:eastAsia="Times New Roman" w:hAnsi="Times New Roman" w:cs="Times New Roman"/>
          <w:lang w:eastAsia="tr-TR"/>
        </w:rPr>
        <w:t>O</w:t>
      </w:r>
      <w:r w:rsidRPr="00D55AD1">
        <w:rPr>
          <w:rFonts w:ascii="Times New Roman" w:eastAsia="Times New Roman" w:hAnsi="Times New Roman" w:cs="Times New Roman"/>
          <w:lang w:eastAsia="tr-TR"/>
        </w:rPr>
        <w:t>fis</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e teslim edilmesinden sonra uygun seyahat gideri olarak kabul edilir.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Yükseköğretim kurumu </w:t>
      </w:r>
      <w:r w:rsidR="00256964">
        <w:rPr>
          <w:rFonts w:ascii="Times New Roman" w:eastAsia="Times New Roman" w:hAnsi="Times New Roman" w:cs="Times New Roman"/>
          <w:lang w:eastAsia="tr-TR"/>
        </w:rPr>
        <w:t xml:space="preserve">Akademik </w:t>
      </w:r>
      <w:r w:rsidR="00256964" w:rsidRPr="00D55AD1">
        <w:rPr>
          <w:rFonts w:ascii="Times New Roman" w:eastAsia="Times New Roman" w:hAnsi="Times New Roman" w:cs="Times New Roman"/>
          <w:lang w:eastAsia="tr-TR"/>
        </w:rPr>
        <w:t xml:space="preserve">Personel </w:t>
      </w:r>
      <w:r w:rsidR="00256964">
        <w:rPr>
          <w:rFonts w:ascii="Times New Roman" w:eastAsia="Times New Roman" w:hAnsi="Times New Roman" w:cs="Times New Roman"/>
          <w:lang w:eastAsia="tr-TR"/>
        </w:rPr>
        <w:t>Ders Verme Hareketliliği</w:t>
      </w:r>
      <w:r w:rsidRPr="00D55AD1">
        <w:rPr>
          <w:rFonts w:ascii="Times New Roman" w:eastAsia="Times New Roman" w:hAnsi="Times New Roman" w:cs="Times New Roman"/>
          <w:lang w:eastAsia="tr-TR"/>
        </w:rPr>
        <w:t xml:space="preserve"> faaliyetini yaygınlaştırmak amacı ile (daha fazla sayıda personelin programdan faydalanabilmesi için) faaliyetten faydalanan personeli için </w:t>
      </w:r>
      <w:r w:rsidR="00794E5E">
        <w:rPr>
          <w:rFonts w:ascii="Times New Roman" w:eastAsia="Times New Roman" w:hAnsi="Times New Roman" w:cs="Times New Roman"/>
          <w:lang w:eastAsia="tr-TR"/>
        </w:rPr>
        <w:t>Türk Ulusala Ajans’ı tarafından</w:t>
      </w:r>
      <w:r w:rsidRPr="00D55AD1">
        <w:rPr>
          <w:rFonts w:ascii="Times New Roman" w:eastAsia="Times New Roman" w:hAnsi="Times New Roman" w:cs="Times New Roman"/>
          <w:lang w:eastAsia="tr-TR"/>
        </w:rPr>
        <w:t xml:space="preserve"> ödenmesi uygun bulunan seyahat giderinin altında ödeme yapmak üzere karar alabilir. Bu şekilde bir karar alınması halinde kararın yazılı olarak kayıt altına alınması, hedef kitleye duyurulması ve tüm personele aynı şekilde uygulanması gerekmektedir.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Giriş-çıkış harçları ve vize ücretleri ödeme y</w:t>
      </w:r>
      <w:r w:rsidR="00A17C1E">
        <w:rPr>
          <w:rFonts w:ascii="Times New Roman" w:eastAsia="Times New Roman" w:hAnsi="Times New Roman" w:cs="Times New Roman"/>
          <w:lang w:eastAsia="tr-TR"/>
        </w:rPr>
        <w:t xml:space="preserve">apıldığını gösteren belgelerin </w:t>
      </w:r>
      <w:r w:rsidR="00794E5E">
        <w:rPr>
          <w:rFonts w:ascii="Times New Roman" w:eastAsia="Times New Roman" w:hAnsi="Times New Roman" w:cs="Times New Roman"/>
          <w:lang w:eastAsia="tr-TR"/>
        </w:rPr>
        <w:t xml:space="preserve">Uluslararası </w:t>
      </w:r>
      <w:r w:rsidR="00A17C1E">
        <w:rPr>
          <w:rFonts w:ascii="Times New Roman" w:eastAsia="Times New Roman" w:hAnsi="Times New Roman" w:cs="Times New Roman"/>
          <w:lang w:eastAsia="tr-TR"/>
        </w:rPr>
        <w:t>O</w:t>
      </w:r>
      <w:r w:rsidRPr="00D55AD1">
        <w:rPr>
          <w:rFonts w:ascii="Times New Roman" w:eastAsia="Times New Roman" w:hAnsi="Times New Roman" w:cs="Times New Roman"/>
          <w:lang w:eastAsia="tr-TR"/>
        </w:rPr>
        <w:t>fis</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e teslim edilmesinden sonra seyahat giderleri altında ödenir.</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D55AD1">
        <w:rPr>
          <w:rFonts w:ascii="Times New Roman" w:eastAsia="Times New Roman" w:hAnsi="Times New Roman" w:cs="Times New Roman"/>
          <w:lang w:eastAsia="tr-TR"/>
        </w:rPr>
        <w:t xml:space="preserve">Seyahat giderlerinin ödenebilmesi için personelin aşağıdaki belgelerden kendisi ile ilgili olanları </w:t>
      </w:r>
      <w:r w:rsidR="00794E5E">
        <w:rPr>
          <w:rFonts w:ascii="Times New Roman" w:eastAsia="Times New Roman" w:hAnsi="Times New Roman" w:cs="Times New Roman"/>
          <w:lang w:eastAsia="tr-TR"/>
        </w:rPr>
        <w:t xml:space="preserve">Uluslararası </w:t>
      </w:r>
      <w:r w:rsidR="00A17C1E">
        <w:rPr>
          <w:rFonts w:ascii="Times New Roman" w:eastAsia="Times New Roman" w:hAnsi="Times New Roman" w:cs="Times New Roman"/>
          <w:lang w:eastAsia="tr-TR"/>
        </w:rPr>
        <w:t>O</w:t>
      </w:r>
      <w:r w:rsidRPr="00D55AD1">
        <w:rPr>
          <w:rFonts w:ascii="Times New Roman" w:eastAsia="Times New Roman" w:hAnsi="Times New Roman" w:cs="Times New Roman"/>
          <w:lang w:eastAsia="tr-TR"/>
        </w:rPr>
        <w:t>fis</w:t>
      </w:r>
      <w:r w:rsidR="00A17C1E">
        <w:rPr>
          <w:rFonts w:ascii="Times New Roman" w:eastAsia="Times New Roman" w:hAnsi="Times New Roman" w:cs="Times New Roman"/>
          <w:lang w:eastAsia="tr-TR"/>
        </w:rPr>
        <w:t>’</w:t>
      </w:r>
      <w:r w:rsidRPr="00D55AD1">
        <w:rPr>
          <w:rFonts w:ascii="Times New Roman" w:eastAsia="Times New Roman" w:hAnsi="Times New Roman" w:cs="Times New Roman"/>
          <w:lang w:eastAsia="tr-TR"/>
        </w:rPr>
        <w:t>e teslim etmesi gerekir:</w:t>
      </w:r>
    </w:p>
    <w:p w:rsidR="00D55AD1" w:rsidRPr="00256964" w:rsidRDefault="00D55AD1" w:rsidP="00AA3DFE">
      <w:pPr>
        <w:pStyle w:val="ListeParagraf"/>
        <w:numPr>
          <w:ilvl w:val="0"/>
          <w:numId w:val="2"/>
        </w:numPr>
        <w:shd w:val="clear" w:color="auto" w:fill="FAFCFD"/>
        <w:spacing w:after="0" w:line="312" w:lineRule="auto"/>
        <w:jc w:val="both"/>
        <w:outlineLvl w:val="1"/>
        <w:rPr>
          <w:rFonts w:ascii="Times New Roman" w:eastAsia="Times New Roman" w:hAnsi="Times New Roman" w:cs="Times New Roman"/>
          <w:b/>
          <w:lang w:eastAsia="tr-TR"/>
        </w:rPr>
      </w:pPr>
      <w:r w:rsidRPr="00AA3DFE">
        <w:rPr>
          <w:rFonts w:ascii="Times New Roman" w:eastAsia="Times New Roman" w:hAnsi="Times New Roman" w:cs="Times New Roman"/>
          <w:lang w:eastAsia="tr-TR"/>
        </w:rPr>
        <w:t xml:space="preserve">Kullanılan biletlerin </w:t>
      </w:r>
      <w:r w:rsidRPr="00222F98">
        <w:rPr>
          <w:rFonts w:ascii="Times New Roman" w:eastAsia="Times New Roman" w:hAnsi="Times New Roman" w:cs="Times New Roman"/>
          <w:lang w:eastAsia="tr-TR"/>
        </w:rPr>
        <w:t>orijinali</w:t>
      </w:r>
      <w:r w:rsidR="00256964" w:rsidRPr="00256964">
        <w:rPr>
          <w:rFonts w:ascii="Times New Roman" w:eastAsia="Times New Roman" w:hAnsi="Times New Roman" w:cs="Times New Roman"/>
          <w:b/>
          <w:lang w:eastAsia="tr-TR"/>
        </w:rPr>
        <w:t xml:space="preserve"> (Biletin kesildiği tarihteki Avro kurunun </w:t>
      </w:r>
      <w:r w:rsidR="00A17C1E">
        <w:rPr>
          <w:rFonts w:ascii="Times New Roman" w:eastAsia="Times New Roman" w:hAnsi="Times New Roman" w:cs="Times New Roman"/>
          <w:b/>
          <w:lang w:eastAsia="tr-TR"/>
        </w:rPr>
        <w:t>ve Avro tutarının belge ile ibrazı</w:t>
      </w:r>
      <w:r w:rsidR="00256964" w:rsidRPr="00256964">
        <w:rPr>
          <w:rFonts w:ascii="Times New Roman" w:eastAsia="Times New Roman" w:hAnsi="Times New Roman" w:cs="Times New Roman"/>
          <w:b/>
          <w:lang w:eastAsia="tr-TR"/>
        </w:rPr>
        <w:t xml:space="preserve"> şarttır.)</w:t>
      </w:r>
    </w:p>
    <w:p w:rsidR="00D55AD1" w:rsidRPr="00AA3DFE" w:rsidRDefault="00D55AD1" w:rsidP="00AA3DFE">
      <w:pPr>
        <w:pStyle w:val="ListeParagraf"/>
        <w:numPr>
          <w:ilvl w:val="0"/>
          <w:numId w:val="2"/>
        </w:numPr>
        <w:shd w:val="clear" w:color="auto" w:fill="FAFCFD"/>
        <w:spacing w:after="0" w:line="312" w:lineRule="auto"/>
        <w:jc w:val="both"/>
        <w:outlineLvl w:val="1"/>
        <w:rPr>
          <w:rFonts w:ascii="Times New Roman" w:eastAsia="Times New Roman" w:hAnsi="Times New Roman" w:cs="Times New Roman"/>
          <w:lang w:eastAsia="tr-TR"/>
        </w:rPr>
      </w:pPr>
      <w:r w:rsidRPr="00AA3DFE">
        <w:rPr>
          <w:rFonts w:ascii="Times New Roman" w:eastAsia="Times New Roman" w:hAnsi="Times New Roman" w:cs="Times New Roman"/>
          <w:lang w:eastAsia="tr-TR"/>
        </w:rPr>
        <w:t>Uçuş kartlarının orijinalleri</w:t>
      </w:r>
    </w:p>
    <w:p w:rsidR="00D55AD1" w:rsidRPr="00AA3DFE" w:rsidRDefault="00D55AD1" w:rsidP="00AA3DFE">
      <w:pPr>
        <w:pStyle w:val="ListeParagraf"/>
        <w:numPr>
          <w:ilvl w:val="0"/>
          <w:numId w:val="2"/>
        </w:numPr>
        <w:shd w:val="clear" w:color="auto" w:fill="FAFCFD"/>
        <w:spacing w:after="0" w:line="312" w:lineRule="auto"/>
        <w:jc w:val="both"/>
        <w:outlineLvl w:val="1"/>
        <w:rPr>
          <w:rFonts w:ascii="Times New Roman" w:eastAsia="Times New Roman" w:hAnsi="Times New Roman" w:cs="Times New Roman"/>
          <w:lang w:eastAsia="tr-TR"/>
        </w:rPr>
      </w:pPr>
      <w:r w:rsidRPr="00AA3DFE">
        <w:rPr>
          <w:rFonts w:ascii="Times New Roman" w:eastAsia="Times New Roman" w:hAnsi="Times New Roman" w:cs="Times New Roman"/>
          <w:lang w:eastAsia="tr-TR"/>
        </w:rPr>
        <w:t>Fatura, makbuz vb ödeme belgelerinin orijinalleri</w:t>
      </w:r>
    </w:p>
    <w:p w:rsidR="00D55AD1" w:rsidRPr="00D55AD1"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outlineLvl w:val="1"/>
        <w:rPr>
          <w:rFonts w:ascii="Times New Roman" w:eastAsia="Times New Roman" w:hAnsi="Times New Roman" w:cs="Times New Roman"/>
          <w:b/>
          <w:lang w:eastAsia="tr-TR"/>
        </w:rPr>
      </w:pPr>
      <w:r w:rsidRPr="00BC230B">
        <w:rPr>
          <w:rFonts w:ascii="Times New Roman" w:eastAsia="Times New Roman" w:hAnsi="Times New Roman" w:cs="Times New Roman"/>
          <w:b/>
          <w:lang w:eastAsia="tr-TR"/>
        </w:rPr>
        <w:t xml:space="preserve">Başvuru </w:t>
      </w:r>
      <w:r w:rsidR="00256964" w:rsidRPr="00BC230B">
        <w:rPr>
          <w:rFonts w:ascii="Times New Roman" w:eastAsia="Times New Roman" w:hAnsi="Times New Roman" w:cs="Times New Roman"/>
          <w:b/>
          <w:lang w:eastAsia="tr-TR"/>
        </w:rPr>
        <w:t>İçin Gerekli Belgeler:</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Başvuru için, aşağıda belirtilen belgelerin son başvuru tarihi olan </w:t>
      </w:r>
      <w:r w:rsidR="005A255D" w:rsidRPr="004C19E5">
        <w:rPr>
          <w:rFonts w:ascii="Times New Roman" w:eastAsia="Times New Roman" w:hAnsi="Times New Roman" w:cs="Times New Roman"/>
          <w:b/>
          <w:lang w:eastAsia="tr-TR"/>
        </w:rPr>
        <w:t>2</w:t>
      </w:r>
      <w:r w:rsidR="00A32F7B">
        <w:rPr>
          <w:rFonts w:ascii="Times New Roman" w:eastAsia="Times New Roman" w:hAnsi="Times New Roman" w:cs="Times New Roman"/>
          <w:b/>
          <w:lang w:eastAsia="tr-TR"/>
        </w:rPr>
        <w:t>4</w:t>
      </w:r>
      <w:r w:rsidR="005A255D" w:rsidRPr="004C19E5">
        <w:rPr>
          <w:rFonts w:ascii="Times New Roman" w:eastAsia="Times New Roman" w:hAnsi="Times New Roman" w:cs="Times New Roman"/>
          <w:b/>
          <w:lang w:eastAsia="tr-TR"/>
        </w:rPr>
        <w:t xml:space="preserve"> Ocak 2014</w:t>
      </w:r>
      <w:r w:rsidRPr="00BC230B">
        <w:rPr>
          <w:rFonts w:ascii="Times New Roman" w:eastAsia="Times New Roman" w:hAnsi="Times New Roman" w:cs="Times New Roman"/>
          <w:lang w:eastAsia="tr-TR"/>
        </w:rPr>
        <w:t xml:space="preserve"> günü mesai bitimine kadar </w:t>
      </w:r>
      <w:r w:rsidRPr="00BC230B">
        <w:rPr>
          <w:rFonts w:ascii="Times New Roman" w:eastAsia="Times New Roman" w:hAnsi="Times New Roman" w:cs="Times New Roman"/>
          <w:b/>
          <w:lang w:eastAsia="tr-TR"/>
        </w:rPr>
        <w:t>BLMYO</w:t>
      </w:r>
      <w:r w:rsidRPr="00BC230B">
        <w:rPr>
          <w:rFonts w:ascii="Times New Roman" w:eastAsia="Times New Roman" w:hAnsi="Times New Roman" w:cs="Times New Roman"/>
          <w:lang w:eastAsia="tr-TR"/>
        </w:rPr>
        <w:t xml:space="preserve"> </w:t>
      </w:r>
      <w:r w:rsidRPr="00BC230B">
        <w:rPr>
          <w:rFonts w:ascii="Times New Roman" w:eastAsia="Times New Roman" w:hAnsi="Times New Roman" w:cs="Times New Roman"/>
          <w:b/>
          <w:lang w:eastAsia="tr-TR"/>
        </w:rPr>
        <w:t xml:space="preserve">Uluslararası </w:t>
      </w:r>
      <w:r w:rsidR="00564E92">
        <w:rPr>
          <w:rFonts w:ascii="Times New Roman" w:eastAsia="Times New Roman" w:hAnsi="Times New Roman" w:cs="Times New Roman"/>
          <w:b/>
          <w:lang w:eastAsia="tr-TR"/>
        </w:rPr>
        <w:t>Ofis’</w:t>
      </w:r>
      <w:r w:rsidR="00794E5E">
        <w:rPr>
          <w:rFonts w:ascii="Times New Roman" w:eastAsia="Times New Roman" w:hAnsi="Times New Roman" w:cs="Times New Roman"/>
          <w:b/>
          <w:lang w:eastAsia="tr-TR"/>
        </w:rPr>
        <w:t>ine</w:t>
      </w:r>
      <w:r w:rsidRPr="00BC230B">
        <w:rPr>
          <w:rFonts w:ascii="Times New Roman" w:eastAsia="Times New Roman" w:hAnsi="Times New Roman" w:cs="Times New Roman"/>
          <w:lang w:eastAsia="tr-TR"/>
        </w:rPr>
        <w:t xml:space="preserve"> teslim edilmesi gerekmektedir: </w:t>
      </w:r>
    </w:p>
    <w:p w:rsidR="00D55AD1" w:rsidRPr="00BC230B" w:rsidRDefault="00D55AD1" w:rsidP="00D55AD1">
      <w:pPr>
        <w:shd w:val="clear" w:color="auto" w:fill="FAFCFD"/>
        <w:spacing w:after="0" w:line="312" w:lineRule="auto"/>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lastRenderedPageBreak/>
        <w:t>1- Başvuru formu (Ek 1).</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 2- Davet mektubu ve iş planı (Ek 2).</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Başvuru yapacak personel ders verme faaliyetinde bulunacağı yüksek öğrenim kurumu</w:t>
      </w:r>
      <w:r w:rsidR="001B7E3C">
        <w:rPr>
          <w:rFonts w:ascii="Times New Roman" w:eastAsia="Times New Roman" w:hAnsi="Times New Roman" w:cs="Times New Roman"/>
          <w:lang w:eastAsia="tr-TR"/>
        </w:rPr>
        <w:t>nu</w:t>
      </w:r>
      <w:r w:rsidRPr="00BC230B">
        <w:rPr>
          <w:rFonts w:ascii="Times New Roman" w:eastAsia="Times New Roman" w:hAnsi="Times New Roman" w:cs="Times New Roman"/>
          <w:lang w:eastAsia="tr-TR"/>
        </w:rPr>
        <w:t xml:space="preserve"> kendisi </w:t>
      </w:r>
      <w:r w:rsidR="00A17C1E">
        <w:rPr>
          <w:rFonts w:ascii="Times New Roman" w:eastAsia="Times New Roman" w:hAnsi="Times New Roman" w:cs="Times New Roman"/>
          <w:lang w:eastAsia="tr-TR"/>
        </w:rPr>
        <w:t>belirlemeli</w:t>
      </w:r>
      <w:r w:rsidRPr="00BC230B">
        <w:rPr>
          <w:rFonts w:ascii="Times New Roman" w:eastAsia="Times New Roman" w:hAnsi="Times New Roman" w:cs="Times New Roman"/>
          <w:lang w:eastAsia="tr-TR"/>
        </w:rPr>
        <w:t xml:space="preserve"> ve karşı kurumdan hareketliliğin gerçekleştirileceği tarihleri ve detaylı iş planını içeren davet mektubu</w:t>
      </w:r>
      <w:r w:rsidR="00A17C1E">
        <w:rPr>
          <w:rFonts w:ascii="Times New Roman" w:eastAsia="Times New Roman" w:hAnsi="Times New Roman" w:cs="Times New Roman"/>
          <w:lang w:eastAsia="tr-TR"/>
        </w:rPr>
        <w:t xml:space="preserve">nu bizzat </w:t>
      </w:r>
      <w:r w:rsidRPr="00BC230B">
        <w:rPr>
          <w:rFonts w:ascii="Times New Roman" w:eastAsia="Times New Roman" w:hAnsi="Times New Roman" w:cs="Times New Roman"/>
          <w:lang w:eastAsia="tr-TR"/>
        </w:rPr>
        <w:t>almalıdır.</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Personel </w:t>
      </w:r>
      <w:r w:rsidR="00255504" w:rsidRPr="00BC230B">
        <w:rPr>
          <w:rFonts w:ascii="Times New Roman" w:eastAsia="Times New Roman" w:hAnsi="Times New Roman" w:cs="Times New Roman"/>
          <w:lang w:eastAsia="tr-TR"/>
        </w:rPr>
        <w:t>Ders Verme Hareketliliği</w:t>
      </w:r>
      <w:r w:rsidR="00255504">
        <w:rPr>
          <w:rFonts w:ascii="Times New Roman" w:eastAsia="Times New Roman" w:hAnsi="Times New Roman" w:cs="Times New Roman"/>
          <w:lang w:eastAsia="tr-TR"/>
        </w:rPr>
        <w:t>’</w:t>
      </w:r>
      <w:r w:rsidRPr="00BC230B">
        <w:rPr>
          <w:rFonts w:ascii="Times New Roman" w:eastAsia="Times New Roman" w:hAnsi="Times New Roman" w:cs="Times New Roman"/>
          <w:lang w:eastAsia="tr-TR"/>
        </w:rPr>
        <w:t xml:space="preserve">nin geçerli bir faaliyet olarak değerlendirilebilmesi için </w:t>
      </w:r>
      <w:r w:rsidRPr="00BC230B">
        <w:rPr>
          <w:rFonts w:ascii="Times New Roman" w:eastAsia="Times New Roman" w:hAnsi="Times New Roman" w:cs="Times New Roman"/>
          <w:b/>
          <w:lang w:eastAsia="tr-TR"/>
        </w:rPr>
        <w:t>en az 5 ders</w:t>
      </w:r>
      <w:r w:rsidRPr="00BC230B">
        <w:rPr>
          <w:rFonts w:ascii="Times New Roman" w:eastAsia="Times New Roman" w:hAnsi="Times New Roman" w:cs="Times New Roman"/>
          <w:lang w:eastAsia="tr-TR"/>
        </w:rPr>
        <w:t xml:space="preserve"> saati ders verilmesi zorunludur. Bununla birlikte, faaliyetin uluslararası akademik hayata anlamlı bir katkı sağlayabilmesi için seyahat hariç </w:t>
      </w:r>
      <w:r w:rsidRPr="00BC230B">
        <w:rPr>
          <w:rFonts w:ascii="Times New Roman" w:eastAsia="Times New Roman" w:hAnsi="Times New Roman" w:cs="Times New Roman"/>
          <w:b/>
          <w:lang w:eastAsia="tr-TR"/>
        </w:rPr>
        <w:t>5 çalışma günü</w:t>
      </w:r>
      <w:r w:rsidR="00AD237C">
        <w:rPr>
          <w:rFonts w:ascii="Times New Roman" w:eastAsia="Times New Roman" w:hAnsi="Times New Roman" w:cs="Times New Roman"/>
          <w:b/>
          <w:lang w:eastAsia="tr-TR"/>
        </w:rPr>
        <w:t xml:space="preserve"> </w:t>
      </w:r>
      <w:r w:rsidR="00255504" w:rsidRPr="00BC230B">
        <w:rPr>
          <w:rFonts w:ascii="Times New Roman" w:eastAsia="Times New Roman" w:hAnsi="Times New Roman" w:cs="Times New Roman"/>
          <w:lang w:eastAsia="tr-TR"/>
        </w:rPr>
        <w:t>Ders Verme Hareketliliği</w:t>
      </w:r>
      <w:r w:rsidRPr="00BC230B">
        <w:rPr>
          <w:rFonts w:ascii="Times New Roman" w:eastAsia="Times New Roman" w:hAnsi="Times New Roman" w:cs="Times New Roman"/>
          <w:lang w:eastAsia="tr-TR"/>
        </w:rPr>
        <w:t xml:space="preserve"> gerçekleştirilmesi AB Komisyonu taraf</w:t>
      </w:r>
      <w:r w:rsidR="00256964" w:rsidRPr="00BC230B">
        <w:rPr>
          <w:rFonts w:ascii="Times New Roman" w:eastAsia="Times New Roman" w:hAnsi="Times New Roman" w:cs="Times New Roman"/>
          <w:lang w:eastAsia="tr-TR"/>
        </w:rPr>
        <w:t>ından önerilmektedir. Personel Ders Verme H</w:t>
      </w:r>
      <w:r w:rsidRPr="00BC230B">
        <w:rPr>
          <w:rFonts w:ascii="Times New Roman" w:eastAsia="Times New Roman" w:hAnsi="Times New Roman" w:cs="Times New Roman"/>
          <w:lang w:eastAsia="tr-TR"/>
        </w:rPr>
        <w:t>areketliliği</w:t>
      </w:r>
      <w:r w:rsidR="00256964" w:rsidRPr="00BC230B">
        <w:rPr>
          <w:rFonts w:ascii="Times New Roman" w:eastAsia="Times New Roman" w:hAnsi="Times New Roman" w:cs="Times New Roman"/>
          <w:lang w:eastAsia="tr-TR"/>
        </w:rPr>
        <w:t>’</w:t>
      </w:r>
      <w:r w:rsidRPr="00BC230B">
        <w:rPr>
          <w:rFonts w:ascii="Times New Roman" w:eastAsia="Times New Roman" w:hAnsi="Times New Roman" w:cs="Times New Roman"/>
          <w:lang w:eastAsia="tr-TR"/>
        </w:rPr>
        <w:t>nde, öğretim programında ve/veya katılım sertifikasında yararlanıcının en az 5 saat ders verdiği</w:t>
      </w:r>
      <w:r w:rsidR="00256964" w:rsidRPr="00BC230B">
        <w:rPr>
          <w:rFonts w:ascii="Times New Roman" w:eastAsia="Times New Roman" w:hAnsi="Times New Roman" w:cs="Times New Roman"/>
          <w:lang w:eastAsia="tr-TR"/>
        </w:rPr>
        <w:t>nin</w:t>
      </w:r>
      <w:r w:rsidRPr="00BC230B">
        <w:rPr>
          <w:rFonts w:ascii="Times New Roman" w:eastAsia="Times New Roman" w:hAnsi="Times New Roman" w:cs="Times New Roman"/>
          <w:lang w:eastAsia="tr-TR"/>
        </w:rPr>
        <w:t xml:space="preserve"> açıkça görü</w:t>
      </w:r>
      <w:r w:rsidR="00256964" w:rsidRPr="00BC230B">
        <w:rPr>
          <w:rFonts w:ascii="Times New Roman" w:eastAsia="Times New Roman" w:hAnsi="Times New Roman" w:cs="Times New Roman"/>
          <w:lang w:eastAsia="tr-TR"/>
        </w:rPr>
        <w:t>l</w:t>
      </w:r>
      <w:r w:rsidRPr="00BC230B">
        <w:rPr>
          <w:rFonts w:ascii="Times New Roman" w:eastAsia="Times New Roman" w:hAnsi="Times New Roman" w:cs="Times New Roman"/>
          <w:lang w:eastAsia="tr-TR"/>
        </w:rPr>
        <w:t>mediği durumlarda faaliyet geçersiz kabul edilir ve yararlanıcıya herhangi bir hibe ödemesi yapılmaz.</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3- Var ise yabancı dil belgesi. </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603AB" w:rsidP="00D55AD1">
      <w:pPr>
        <w:shd w:val="clear" w:color="auto" w:fill="FAFCFD"/>
        <w:spacing w:after="0" w:line="312" w:lineRule="auto"/>
        <w:outlineLvl w:val="1"/>
        <w:rPr>
          <w:rFonts w:ascii="Times New Roman" w:eastAsia="Times New Roman" w:hAnsi="Times New Roman" w:cs="Times New Roman"/>
          <w:lang w:eastAsia="tr-TR"/>
        </w:rPr>
      </w:pPr>
      <w:r w:rsidRPr="00BC230B">
        <w:rPr>
          <w:rFonts w:ascii="Times New Roman" w:eastAsia="Times New Roman" w:hAnsi="Times New Roman" w:cs="Times New Roman"/>
          <w:b/>
          <w:lang w:eastAsia="tr-TR"/>
        </w:rPr>
        <w:t>Değerlendirme:</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Tüm başvurular alındıktan sonra, değerlendirme </w:t>
      </w:r>
      <w:r w:rsidRPr="00BC230B">
        <w:rPr>
          <w:rFonts w:ascii="Times New Roman" w:eastAsia="Times New Roman" w:hAnsi="Times New Roman" w:cs="Times New Roman"/>
          <w:b/>
          <w:lang w:eastAsia="tr-TR"/>
        </w:rPr>
        <w:t xml:space="preserve">Beykoz Lojistik Meslek Yüksekokulu Uluslararası </w:t>
      </w:r>
      <w:r w:rsidR="00F00D10">
        <w:rPr>
          <w:rFonts w:ascii="Times New Roman" w:eastAsia="Times New Roman" w:hAnsi="Times New Roman" w:cs="Times New Roman"/>
          <w:b/>
          <w:lang w:eastAsia="tr-TR"/>
        </w:rPr>
        <w:t>Ofis</w:t>
      </w:r>
      <w:r w:rsidR="00A32F7B">
        <w:rPr>
          <w:rFonts w:ascii="Times New Roman" w:eastAsia="Times New Roman" w:hAnsi="Times New Roman" w:cs="Times New Roman"/>
          <w:b/>
          <w:lang w:eastAsia="tr-TR"/>
        </w:rPr>
        <w:t>i tarafından</w:t>
      </w:r>
      <w:r w:rsidRPr="00BC230B">
        <w:rPr>
          <w:rFonts w:ascii="Times New Roman" w:eastAsia="Times New Roman" w:hAnsi="Times New Roman" w:cs="Times New Roman"/>
          <w:b/>
          <w:lang w:eastAsia="tr-TR"/>
        </w:rPr>
        <w:t xml:space="preserve"> </w:t>
      </w:r>
      <w:r w:rsidRPr="00BC230B">
        <w:rPr>
          <w:rFonts w:ascii="Times New Roman" w:eastAsia="Times New Roman" w:hAnsi="Times New Roman" w:cs="Times New Roman"/>
          <w:lang w:eastAsia="tr-TR"/>
        </w:rPr>
        <w:t>belirlenen bir komisyon tarafından yapılacaktır.</w:t>
      </w:r>
    </w:p>
    <w:p w:rsidR="00AA3DFE" w:rsidRPr="00BC230B" w:rsidRDefault="00D55AD1" w:rsidP="00D55AD1">
      <w:pPr>
        <w:shd w:val="clear" w:color="auto" w:fill="FAFCFD"/>
        <w:spacing w:after="0" w:line="312" w:lineRule="auto"/>
        <w:jc w:val="both"/>
        <w:outlineLvl w:val="1"/>
        <w:rPr>
          <w:rFonts w:ascii="Times New Roman" w:eastAsia="Times New Roman" w:hAnsi="Times New Roman" w:cs="Times New Roman"/>
          <w:b/>
          <w:lang w:eastAsia="tr-TR"/>
        </w:rPr>
      </w:pPr>
      <w:r w:rsidRPr="00BC230B">
        <w:rPr>
          <w:rFonts w:ascii="Times New Roman" w:eastAsia="Times New Roman" w:hAnsi="Times New Roman" w:cs="Times New Roman"/>
          <w:b/>
          <w:lang w:eastAsia="tr-TR"/>
        </w:rPr>
        <w:t xml:space="preserve"> </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Daha önce </w:t>
      </w:r>
      <w:r w:rsidR="00255504" w:rsidRPr="00BC230B">
        <w:rPr>
          <w:rFonts w:ascii="Times New Roman" w:eastAsia="Times New Roman" w:hAnsi="Times New Roman" w:cs="Times New Roman"/>
          <w:lang w:eastAsia="tr-TR"/>
        </w:rPr>
        <w:t>Ders Verme Hareketliliği</w:t>
      </w:r>
      <w:r w:rsidR="00255504">
        <w:rPr>
          <w:rFonts w:ascii="Times New Roman" w:eastAsia="Times New Roman" w:hAnsi="Times New Roman" w:cs="Times New Roman"/>
          <w:lang w:eastAsia="tr-TR"/>
        </w:rPr>
        <w:t>’</w:t>
      </w:r>
      <w:r w:rsidRPr="00BC230B">
        <w:rPr>
          <w:rFonts w:ascii="Times New Roman" w:eastAsia="Times New Roman" w:hAnsi="Times New Roman" w:cs="Times New Roman"/>
          <w:lang w:eastAsia="tr-TR"/>
        </w:rPr>
        <w:t xml:space="preserve">nden faydalanmamış personele, daha önce </w:t>
      </w:r>
      <w:r w:rsidR="00255504" w:rsidRPr="00BC230B">
        <w:rPr>
          <w:rFonts w:ascii="Times New Roman" w:eastAsia="Times New Roman" w:hAnsi="Times New Roman" w:cs="Times New Roman"/>
          <w:lang w:eastAsia="tr-TR"/>
        </w:rPr>
        <w:t>Ders Verme Hareketliliği</w:t>
      </w:r>
      <w:r w:rsidRPr="00BC230B">
        <w:rPr>
          <w:rFonts w:ascii="Times New Roman" w:eastAsia="Times New Roman" w:hAnsi="Times New Roman" w:cs="Times New Roman"/>
          <w:lang w:eastAsia="tr-TR"/>
        </w:rPr>
        <w:t xml:space="preserve"> faaliyetlerine dâhil olmayan bölüm ya da birimlere, daha önce </w:t>
      </w:r>
      <w:r w:rsidR="00255504" w:rsidRPr="00BC230B">
        <w:rPr>
          <w:rFonts w:ascii="Times New Roman" w:eastAsia="Times New Roman" w:hAnsi="Times New Roman" w:cs="Times New Roman"/>
          <w:lang w:eastAsia="tr-TR"/>
        </w:rPr>
        <w:t>Ders Verme Hareketliliği</w:t>
      </w:r>
      <w:r w:rsidRPr="00BC230B">
        <w:rPr>
          <w:rFonts w:ascii="Times New Roman" w:eastAsia="Times New Roman" w:hAnsi="Times New Roman" w:cs="Times New Roman"/>
          <w:lang w:eastAsia="tr-TR"/>
        </w:rPr>
        <w:t xml:space="preserve"> faaliyetlerinde yer almayan veya az </w:t>
      </w:r>
      <w:r w:rsidR="00256964" w:rsidRPr="00BC230B">
        <w:rPr>
          <w:rFonts w:ascii="Times New Roman" w:eastAsia="Times New Roman" w:hAnsi="Times New Roman" w:cs="Times New Roman"/>
          <w:lang w:eastAsia="tr-TR"/>
        </w:rPr>
        <w:t>sayıda yer alan ülke/yükseköğret</w:t>
      </w:r>
      <w:r w:rsidRPr="00BC230B">
        <w:rPr>
          <w:rFonts w:ascii="Times New Roman" w:eastAsia="Times New Roman" w:hAnsi="Times New Roman" w:cs="Times New Roman"/>
          <w:lang w:eastAsia="tr-TR"/>
        </w:rPr>
        <w:t xml:space="preserve">im kurumu ile hareketlilik faaliyeti gerçekleştirmeyi planlayan başvurulara öncelik verilecektir. </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Ders </w:t>
      </w:r>
      <w:r w:rsidR="00255504" w:rsidRPr="00BC230B">
        <w:rPr>
          <w:rFonts w:ascii="Times New Roman" w:eastAsia="Times New Roman" w:hAnsi="Times New Roman" w:cs="Times New Roman"/>
          <w:lang w:eastAsia="tr-TR"/>
        </w:rPr>
        <w:t>Verme Hareketliliği</w:t>
      </w:r>
      <w:r w:rsidR="00255504">
        <w:rPr>
          <w:rFonts w:ascii="Times New Roman" w:eastAsia="Times New Roman" w:hAnsi="Times New Roman" w:cs="Times New Roman"/>
          <w:lang w:eastAsia="tr-TR"/>
        </w:rPr>
        <w:t>’</w:t>
      </w:r>
      <w:r w:rsidRPr="00BC230B">
        <w:rPr>
          <w:rFonts w:ascii="Times New Roman" w:eastAsia="Times New Roman" w:hAnsi="Times New Roman" w:cs="Times New Roman"/>
          <w:lang w:eastAsia="tr-TR"/>
        </w:rPr>
        <w:t>nden faydalanacak öğretim elemanlarının yabancı dil yeterliliklerini kanıtlayabilecek ya da komisyonun gerekli görmesi durumunda yurtdışında vermeyi düşündükleri dersi Erasmus Program Koordinatörleri Komisyonu önünde sunabilecek durumda olmaları gerekir.</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 </w:t>
      </w:r>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Sonuçlar listeler oluşturularak </w:t>
      </w:r>
      <w:r w:rsidRPr="00BC230B">
        <w:rPr>
          <w:rFonts w:ascii="Times New Roman" w:eastAsia="Times New Roman" w:hAnsi="Times New Roman" w:cs="Times New Roman"/>
          <w:b/>
          <w:lang w:eastAsia="tr-TR"/>
        </w:rPr>
        <w:t>BLMYO (http://www.</w:t>
      </w:r>
      <w:proofErr w:type="spellStart"/>
      <w:r w:rsidRPr="00BC230B">
        <w:rPr>
          <w:rFonts w:ascii="Times New Roman" w:eastAsia="Times New Roman" w:hAnsi="Times New Roman" w:cs="Times New Roman"/>
          <w:b/>
          <w:lang w:eastAsia="tr-TR"/>
        </w:rPr>
        <w:t>beykoz</w:t>
      </w:r>
      <w:proofErr w:type="spellEnd"/>
      <w:r w:rsidRPr="00BC230B">
        <w:rPr>
          <w:rFonts w:ascii="Times New Roman" w:eastAsia="Times New Roman" w:hAnsi="Times New Roman" w:cs="Times New Roman"/>
          <w:b/>
          <w:lang w:eastAsia="tr-TR"/>
        </w:rPr>
        <w:t>.edu.tr/)</w:t>
      </w:r>
      <w:r w:rsidRPr="00BC230B">
        <w:rPr>
          <w:rFonts w:ascii="Times New Roman" w:eastAsia="Times New Roman" w:hAnsi="Times New Roman" w:cs="Times New Roman"/>
          <w:lang w:eastAsia="tr-TR"/>
        </w:rPr>
        <w:t xml:space="preserve"> ve </w:t>
      </w:r>
      <w:r w:rsidRPr="00BC230B">
        <w:rPr>
          <w:rFonts w:ascii="Times New Roman" w:eastAsia="Times New Roman" w:hAnsi="Times New Roman" w:cs="Times New Roman"/>
          <w:b/>
          <w:lang w:eastAsia="tr-TR"/>
        </w:rPr>
        <w:t>BLMYO Uluslararası Ofis</w:t>
      </w:r>
      <w:r w:rsidRPr="00BC230B">
        <w:rPr>
          <w:rFonts w:ascii="Times New Roman" w:eastAsia="Times New Roman" w:hAnsi="Times New Roman" w:cs="Times New Roman"/>
          <w:lang w:eastAsia="tr-TR"/>
        </w:rPr>
        <w:t xml:space="preserve"> (</w:t>
      </w:r>
      <w:hyperlink r:id="rId8" w:history="1">
        <w:r w:rsidRPr="00BC230B">
          <w:rPr>
            <w:rStyle w:val="Kpr"/>
            <w:rFonts w:ascii="Times New Roman" w:eastAsia="Times New Roman" w:hAnsi="Times New Roman" w:cs="Times New Roman"/>
            <w:lang w:eastAsia="tr-TR"/>
          </w:rPr>
          <w:t>http://ui.beykoz.edu.tr/</w:t>
        </w:r>
      </w:hyperlink>
      <w:r w:rsidRPr="00BC230B">
        <w:rPr>
          <w:rFonts w:ascii="Times New Roman" w:eastAsia="Times New Roman" w:hAnsi="Times New Roman" w:cs="Times New Roman"/>
          <w:lang w:eastAsia="tr-TR"/>
        </w:rPr>
        <w:t xml:space="preserve">) internet sayfasında ilan edilecektir. </w:t>
      </w:r>
    </w:p>
    <w:p w:rsidR="00222F98" w:rsidRPr="00BC230B" w:rsidRDefault="00222F98" w:rsidP="00D55AD1">
      <w:pPr>
        <w:shd w:val="clear" w:color="auto" w:fill="FAFCFD"/>
        <w:spacing w:after="0" w:line="312" w:lineRule="auto"/>
        <w:jc w:val="both"/>
        <w:outlineLvl w:val="1"/>
        <w:rPr>
          <w:rFonts w:ascii="Times New Roman" w:eastAsia="Times New Roman" w:hAnsi="Times New Roman" w:cs="Times New Roman"/>
          <w:lang w:eastAsia="tr-TR"/>
        </w:rPr>
      </w:pPr>
    </w:p>
    <w:p w:rsidR="00222F98" w:rsidRPr="00BC230B" w:rsidRDefault="00222F98" w:rsidP="00D55AD1">
      <w:pPr>
        <w:shd w:val="clear" w:color="auto" w:fill="FAFCFD"/>
        <w:spacing w:after="0" w:line="312" w:lineRule="auto"/>
        <w:jc w:val="both"/>
        <w:outlineLvl w:val="1"/>
        <w:rPr>
          <w:rFonts w:ascii="Times New Roman" w:eastAsia="Times New Roman" w:hAnsi="Times New Roman" w:cs="Times New Roman"/>
          <w:b/>
          <w:lang w:eastAsia="tr-TR"/>
        </w:rPr>
      </w:pPr>
      <w:r w:rsidRPr="00BC230B">
        <w:rPr>
          <w:rFonts w:ascii="Times New Roman" w:eastAsia="Times New Roman" w:hAnsi="Times New Roman" w:cs="Times New Roman"/>
          <w:b/>
          <w:lang w:eastAsia="tr-TR"/>
        </w:rPr>
        <w:t>Erasmus Personel Ders Verme Hareketliliği</w:t>
      </w:r>
      <w:r w:rsidR="00255504">
        <w:rPr>
          <w:rFonts w:ascii="Times New Roman" w:eastAsia="Times New Roman" w:hAnsi="Times New Roman" w:cs="Times New Roman"/>
          <w:b/>
          <w:lang w:eastAsia="tr-TR"/>
        </w:rPr>
        <w:t>’</w:t>
      </w:r>
      <w:r w:rsidRPr="00BC230B">
        <w:rPr>
          <w:rFonts w:ascii="Times New Roman" w:eastAsia="Times New Roman" w:hAnsi="Times New Roman" w:cs="Times New Roman"/>
          <w:b/>
          <w:lang w:eastAsia="tr-TR"/>
        </w:rPr>
        <w:t xml:space="preserve">ne Seçilen Adayların Gitmeden Önce </w:t>
      </w:r>
      <w:r w:rsidR="00F00D10">
        <w:rPr>
          <w:rFonts w:ascii="Times New Roman" w:eastAsia="Times New Roman" w:hAnsi="Times New Roman" w:cs="Times New Roman"/>
          <w:b/>
          <w:lang w:eastAsia="tr-TR"/>
        </w:rPr>
        <w:t>Uluslararası</w:t>
      </w:r>
      <w:r w:rsidR="00A72AB6">
        <w:rPr>
          <w:rFonts w:ascii="Times New Roman" w:eastAsia="Times New Roman" w:hAnsi="Times New Roman" w:cs="Times New Roman"/>
          <w:b/>
          <w:lang w:eastAsia="tr-TR"/>
        </w:rPr>
        <w:t xml:space="preserve"> </w:t>
      </w:r>
      <w:proofErr w:type="spellStart"/>
      <w:r w:rsidR="00A72AB6">
        <w:rPr>
          <w:rFonts w:ascii="Times New Roman" w:eastAsia="Times New Roman" w:hAnsi="Times New Roman" w:cs="Times New Roman"/>
          <w:b/>
          <w:lang w:eastAsia="tr-TR"/>
        </w:rPr>
        <w:t>Ofisi’</w:t>
      </w:r>
      <w:r w:rsidRPr="00BC230B">
        <w:rPr>
          <w:rFonts w:ascii="Times New Roman" w:eastAsia="Times New Roman" w:hAnsi="Times New Roman" w:cs="Times New Roman"/>
          <w:b/>
          <w:lang w:eastAsia="tr-TR"/>
        </w:rPr>
        <w:t>e</w:t>
      </w:r>
      <w:proofErr w:type="spellEnd"/>
      <w:r w:rsidRPr="00BC230B">
        <w:rPr>
          <w:rFonts w:ascii="Times New Roman" w:eastAsia="Times New Roman" w:hAnsi="Times New Roman" w:cs="Times New Roman"/>
          <w:b/>
          <w:lang w:eastAsia="tr-TR"/>
        </w:rPr>
        <w:t xml:space="preserve"> Teslim Etmesi Gereken Belgeler:</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Öğretim Hareketliliği Bilgi Formu</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Öğretim Hareketliliği Sözleşmesi</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Misafir Olunacak Yükseköğretim Kurum</w:t>
      </w:r>
      <w:r w:rsidR="00A17C1E">
        <w:rPr>
          <w:rFonts w:ascii="Times New Roman" w:eastAsia="Times New Roman" w:hAnsi="Times New Roman" w:cs="Times New Roman"/>
          <w:lang w:eastAsia="tr-TR"/>
        </w:rPr>
        <w:t>un</w:t>
      </w:r>
      <w:r w:rsidRPr="00BC230B">
        <w:rPr>
          <w:rFonts w:ascii="Times New Roman" w:eastAsia="Times New Roman" w:hAnsi="Times New Roman" w:cs="Times New Roman"/>
          <w:lang w:eastAsia="tr-TR"/>
        </w:rPr>
        <w:t>dan Gelen Davet Mektubu</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Beykoz Lojistik Meslek Yüksekokulu Müdürlüğü’nden Alınan Görevlendirme Yazısı</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Türkiye İş Bankası Paşabahçe Şubesi’nde Açılan </w:t>
      </w:r>
      <w:r w:rsidR="00A17C1E">
        <w:rPr>
          <w:rFonts w:ascii="Times New Roman" w:eastAsia="Times New Roman" w:hAnsi="Times New Roman" w:cs="Times New Roman"/>
          <w:lang w:eastAsia="tr-TR"/>
        </w:rPr>
        <w:t>Avro</w:t>
      </w:r>
      <w:r w:rsidRPr="00BC230B">
        <w:rPr>
          <w:rFonts w:ascii="Times New Roman" w:eastAsia="Times New Roman" w:hAnsi="Times New Roman" w:cs="Times New Roman"/>
          <w:lang w:eastAsia="tr-TR"/>
        </w:rPr>
        <w:t xml:space="preserve"> Hesap Cüzdanı Fotokopisi</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Seyahat Biletine İlişkin Fatura </w:t>
      </w:r>
      <w:r w:rsidRPr="00BC230B">
        <w:rPr>
          <w:rFonts w:ascii="Times New Roman" w:eastAsia="Times New Roman" w:hAnsi="Times New Roman" w:cs="Times New Roman"/>
          <w:b/>
          <w:lang w:eastAsia="tr-TR"/>
        </w:rPr>
        <w:t>(Kesildiği Tarihe Ait Avro Kuru</w:t>
      </w:r>
      <w:r w:rsidR="00A17C1E">
        <w:rPr>
          <w:rFonts w:ascii="Times New Roman" w:eastAsia="Times New Roman" w:hAnsi="Times New Roman" w:cs="Times New Roman"/>
          <w:b/>
          <w:lang w:eastAsia="tr-TR"/>
        </w:rPr>
        <w:t>nun ve Avro Toplamının Belge İle</w:t>
      </w:r>
      <w:r w:rsidRPr="00BC230B">
        <w:rPr>
          <w:rFonts w:ascii="Times New Roman" w:eastAsia="Times New Roman" w:hAnsi="Times New Roman" w:cs="Times New Roman"/>
          <w:b/>
          <w:lang w:eastAsia="tr-TR"/>
        </w:rPr>
        <w:t xml:space="preserve"> İbrazı Şarttır</w:t>
      </w:r>
      <w:r w:rsidR="00A17C1E">
        <w:rPr>
          <w:rFonts w:ascii="Times New Roman" w:eastAsia="Times New Roman" w:hAnsi="Times New Roman" w:cs="Times New Roman"/>
          <w:b/>
          <w:lang w:eastAsia="tr-TR"/>
        </w:rPr>
        <w:t>.</w:t>
      </w:r>
      <w:r w:rsidRPr="00BC230B">
        <w:rPr>
          <w:rFonts w:ascii="Times New Roman" w:eastAsia="Times New Roman" w:hAnsi="Times New Roman" w:cs="Times New Roman"/>
          <w:b/>
          <w:lang w:eastAsia="tr-TR"/>
        </w:rPr>
        <w:t>)</w:t>
      </w:r>
    </w:p>
    <w:p w:rsidR="00222F98" w:rsidRPr="00BC230B" w:rsidRDefault="00222F98" w:rsidP="00222F98">
      <w:pPr>
        <w:pStyle w:val="ListeParagraf"/>
        <w:numPr>
          <w:ilvl w:val="0"/>
          <w:numId w:val="3"/>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lastRenderedPageBreak/>
        <w:t xml:space="preserve">Öğretim Planı </w:t>
      </w:r>
      <w:proofErr w:type="gramStart"/>
      <w:r w:rsidRPr="00BC230B">
        <w:rPr>
          <w:rFonts w:ascii="Times New Roman" w:eastAsia="Times New Roman" w:hAnsi="Times New Roman" w:cs="Times New Roman"/>
          <w:lang w:eastAsia="tr-TR"/>
        </w:rPr>
        <w:t>(</w:t>
      </w:r>
      <w:proofErr w:type="gramEnd"/>
      <w:r w:rsidRPr="00BC230B">
        <w:rPr>
          <w:rFonts w:ascii="Times New Roman" w:eastAsia="Times New Roman" w:hAnsi="Times New Roman" w:cs="Times New Roman"/>
          <w:lang w:eastAsia="tr-TR"/>
        </w:rPr>
        <w:t>Orijinal Olarak İmzalanmış Nüshası. Eğer Onay Elektronik Ortamda Alınmışsa -Orijinali Daha Sonra Teslim Edilmek Üzere- Bir Nüsha Ofis</w:t>
      </w:r>
      <w:r w:rsidR="00AD237C">
        <w:rPr>
          <w:rFonts w:ascii="Times New Roman" w:eastAsia="Times New Roman" w:hAnsi="Times New Roman" w:cs="Times New Roman"/>
          <w:lang w:eastAsia="tr-TR"/>
        </w:rPr>
        <w:t>’</w:t>
      </w:r>
      <w:r w:rsidRPr="00BC230B">
        <w:rPr>
          <w:rFonts w:ascii="Times New Roman" w:eastAsia="Times New Roman" w:hAnsi="Times New Roman" w:cs="Times New Roman"/>
          <w:lang w:eastAsia="tr-TR"/>
        </w:rPr>
        <w:t>e Teslim Edilir</w:t>
      </w:r>
      <w:proofErr w:type="gramStart"/>
      <w:r w:rsidRPr="00BC230B">
        <w:rPr>
          <w:rFonts w:ascii="Times New Roman" w:eastAsia="Times New Roman" w:hAnsi="Times New Roman" w:cs="Times New Roman"/>
          <w:lang w:eastAsia="tr-TR"/>
        </w:rPr>
        <w:t>)</w:t>
      </w:r>
      <w:proofErr w:type="gramEnd"/>
    </w:p>
    <w:p w:rsidR="00D55AD1" w:rsidRPr="00BC230B" w:rsidRDefault="00D55AD1" w:rsidP="00D55AD1">
      <w:pPr>
        <w:shd w:val="clear" w:color="auto" w:fill="FAFCFD"/>
        <w:spacing w:after="0" w:line="312" w:lineRule="auto"/>
        <w:jc w:val="both"/>
        <w:outlineLvl w:val="1"/>
        <w:rPr>
          <w:rFonts w:ascii="Times New Roman" w:eastAsia="Times New Roman" w:hAnsi="Times New Roman" w:cs="Times New Roman"/>
          <w:lang w:eastAsia="tr-TR"/>
        </w:rPr>
      </w:pPr>
    </w:p>
    <w:p w:rsidR="00D55AD1" w:rsidRPr="00BC230B" w:rsidRDefault="00222F98" w:rsidP="00D55AD1">
      <w:pPr>
        <w:shd w:val="clear" w:color="auto" w:fill="FAFCFD"/>
        <w:spacing w:after="0" w:line="312" w:lineRule="auto"/>
        <w:jc w:val="both"/>
        <w:outlineLvl w:val="1"/>
        <w:rPr>
          <w:rFonts w:ascii="Times New Roman" w:eastAsia="Times New Roman" w:hAnsi="Times New Roman" w:cs="Times New Roman"/>
          <w:b/>
          <w:lang w:eastAsia="tr-TR"/>
        </w:rPr>
      </w:pPr>
      <w:r w:rsidRPr="00BC230B">
        <w:rPr>
          <w:rFonts w:ascii="Times New Roman" w:eastAsia="Times New Roman" w:hAnsi="Times New Roman" w:cs="Times New Roman"/>
          <w:b/>
          <w:lang w:eastAsia="tr-TR"/>
        </w:rPr>
        <w:t>Gidilen Yükseköğretim Kurumundan Alınacak Belgeler:</w:t>
      </w:r>
    </w:p>
    <w:p w:rsidR="00222F98" w:rsidRPr="00BC230B" w:rsidRDefault="00222F98" w:rsidP="00222F98">
      <w:pPr>
        <w:pStyle w:val="ListeParagraf"/>
        <w:numPr>
          <w:ilvl w:val="0"/>
          <w:numId w:val="4"/>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Katlım Sertifikası (Misafir Olunan Yükseköğretim Kurumunda 5 İş Günü </w:t>
      </w:r>
      <w:r w:rsidR="00955BE7" w:rsidRPr="00BC230B">
        <w:rPr>
          <w:rFonts w:ascii="Times New Roman" w:eastAsia="Times New Roman" w:hAnsi="Times New Roman" w:cs="Times New Roman"/>
          <w:lang w:eastAsia="tr-TR"/>
        </w:rPr>
        <w:t>v</w:t>
      </w:r>
      <w:r w:rsidRPr="00BC230B">
        <w:rPr>
          <w:rFonts w:ascii="Times New Roman" w:eastAsia="Times New Roman" w:hAnsi="Times New Roman" w:cs="Times New Roman"/>
          <w:lang w:eastAsia="tr-TR"/>
        </w:rPr>
        <w:t>e 5 Saat Ders Verildiğini Gösteren Belge)</w:t>
      </w:r>
    </w:p>
    <w:p w:rsidR="00EB1DDD" w:rsidRPr="00BC230B" w:rsidRDefault="00EB1DDD" w:rsidP="00222F98">
      <w:pPr>
        <w:pStyle w:val="ListeParagraf"/>
        <w:numPr>
          <w:ilvl w:val="0"/>
          <w:numId w:val="4"/>
        </w:numPr>
        <w:shd w:val="clear" w:color="auto" w:fill="FAFCFD"/>
        <w:spacing w:after="0" w:line="312" w:lineRule="auto"/>
        <w:jc w:val="both"/>
        <w:outlineLvl w:val="1"/>
        <w:rPr>
          <w:rFonts w:ascii="Times New Roman" w:eastAsia="Times New Roman" w:hAnsi="Times New Roman" w:cs="Times New Roman"/>
          <w:lang w:eastAsia="tr-TR"/>
        </w:rPr>
      </w:pPr>
      <w:r w:rsidRPr="00BC230B">
        <w:rPr>
          <w:rFonts w:ascii="Times New Roman" w:eastAsia="Times New Roman" w:hAnsi="Times New Roman" w:cs="Times New Roman"/>
          <w:lang w:eastAsia="tr-TR"/>
        </w:rPr>
        <w:t xml:space="preserve">Elektronik Ortamda Onayı Alınmış Öğretim Planı İçin Orijinal İmza </w:t>
      </w:r>
    </w:p>
    <w:p w:rsidR="00222F98" w:rsidRPr="00BC230B" w:rsidRDefault="00222F98" w:rsidP="00D55AD1">
      <w:pPr>
        <w:pStyle w:val="Balk2"/>
        <w:numPr>
          <w:ilvl w:val="0"/>
          <w:numId w:val="0"/>
        </w:numPr>
        <w:tabs>
          <w:tab w:val="left" w:pos="3780"/>
        </w:tabs>
        <w:rPr>
          <w:sz w:val="22"/>
          <w:szCs w:val="22"/>
        </w:rPr>
      </w:pPr>
    </w:p>
    <w:p w:rsidR="00222F98" w:rsidRPr="00BC230B" w:rsidRDefault="00222F98" w:rsidP="00D55AD1">
      <w:pPr>
        <w:pStyle w:val="Balk2"/>
        <w:numPr>
          <w:ilvl w:val="0"/>
          <w:numId w:val="0"/>
        </w:numPr>
        <w:tabs>
          <w:tab w:val="left" w:pos="3780"/>
        </w:tabs>
        <w:rPr>
          <w:b w:val="0"/>
          <w:sz w:val="22"/>
          <w:szCs w:val="22"/>
        </w:rPr>
      </w:pPr>
      <w:r w:rsidRPr="00BC230B">
        <w:rPr>
          <w:sz w:val="22"/>
          <w:szCs w:val="22"/>
        </w:rPr>
        <w:t xml:space="preserve">Dönüşte </w:t>
      </w:r>
      <w:r w:rsidR="00A72AB6">
        <w:rPr>
          <w:sz w:val="22"/>
          <w:szCs w:val="22"/>
        </w:rPr>
        <w:t xml:space="preserve">Uluslar arası </w:t>
      </w:r>
      <w:r w:rsidRPr="00BC230B">
        <w:rPr>
          <w:sz w:val="22"/>
          <w:szCs w:val="22"/>
        </w:rPr>
        <w:t>Ofisi’e Teslim Etmesi Gereken Belgeler:</w:t>
      </w:r>
    </w:p>
    <w:p w:rsidR="00222F98" w:rsidRPr="00BC230B" w:rsidRDefault="00222F98" w:rsidP="00222F98">
      <w:pPr>
        <w:pStyle w:val="Balk2"/>
        <w:numPr>
          <w:ilvl w:val="0"/>
          <w:numId w:val="5"/>
        </w:numPr>
        <w:tabs>
          <w:tab w:val="left" w:pos="3780"/>
        </w:tabs>
        <w:rPr>
          <w:b w:val="0"/>
          <w:sz w:val="22"/>
          <w:szCs w:val="22"/>
        </w:rPr>
      </w:pPr>
      <w:r w:rsidRPr="00BC230B">
        <w:rPr>
          <w:b w:val="0"/>
          <w:sz w:val="22"/>
          <w:szCs w:val="22"/>
        </w:rPr>
        <w:t>Katılım Sertifikası</w:t>
      </w:r>
    </w:p>
    <w:p w:rsidR="00222F98" w:rsidRPr="00BC230B" w:rsidRDefault="00222F98" w:rsidP="00222F98">
      <w:pPr>
        <w:pStyle w:val="ListeParagraf"/>
        <w:numPr>
          <w:ilvl w:val="0"/>
          <w:numId w:val="5"/>
        </w:numPr>
        <w:rPr>
          <w:rFonts w:ascii="Times New Roman" w:hAnsi="Times New Roman" w:cs="Times New Roman"/>
          <w:lang w:eastAsia="tr-TR"/>
        </w:rPr>
      </w:pPr>
      <w:r w:rsidRPr="00BC230B">
        <w:rPr>
          <w:rFonts w:ascii="Times New Roman" w:hAnsi="Times New Roman" w:cs="Times New Roman"/>
          <w:lang w:eastAsia="tr-TR"/>
        </w:rPr>
        <w:t>Nihai Rapor Formu</w:t>
      </w:r>
    </w:p>
    <w:p w:rsidR="007F5A26" w:rsidRPr="00BC230B" w:rsidRDefault="00222F98" w:rsidP="00222F98">
      <w:pPr>
        <w:pStyle w:val="ListeParagraf"/>
        <w:numPr>
          <w:ilvl w:val="0"/>
          <w:numId w:val="5"/>
        </w:numPr>
        <w:rPr>
          <w:rFonts w:ascii="Times New Roman" w:hAnsi="Times New Roman" w:cs="Times New Roman"/>
          <w:lang w:eastAsia="tr-TR"/>
        </w:rPr>
      </w:pPr>
      <w:r w:rsidRPr="00BC230B">
        <w:rPr>
          <w:rFonts w:ascii="Times New Roman" w:hAnsi="Times New Roman" w:cs="Times New Roman"/>
          <w:lang w:eastAsia="tr-TR"/>
        </w:rPr>
        <w:t>Pasaport Giriş Çıkış Sayfasının Fotokopisi</w:t>
      </w:r>
    </w:p>
    <w:p w:rsidR="007F5A26" w:rsidRPr="00BC230B" w:rsidRDefault="007F5A26" w:rsidP="00222F98">
      <w:pPr>
        <w:pStyle w:val="ListeParagraf"/>
        <w:numPr>
          <w:ilvl w:val="0"/>
          <w:numId w:val="5"/>
        </w:numPr>
        <w:rPr>
          <w:rFonts w:ascii="Times New Roman" w:hAnsi="Times New Roman" w:cs="Times New Roman"/>
          <w:lang w:eastAsia="tr-TR"/>
        </w:rPr>
      </w:pPr>
      <w:r w:rsidRPr="00BC230B">
        <w:rPr>
          <w:rFonts w:ascii="Times New Roman" w:hAnsi="Times New Roman" w:cs="Times New Roman"/>
          <w:lang w:eastAsia="tr-TR"/>
        </w:rPr>
        <w:t>Elektronik Ortamda Onayı Alınan Öğretim Planının Orijinal Olarak İmzalanmış Nüshası</w:t>
      </w:r>
    </w:p>
    <w:p w:rsidR="00222F98" w:rsidRPr="00BC230B" w:rsidRDefault="00222F98" w:rsidP="00222F98">
      <w:pPr>
        <w:pStyle w:val="ListeParagraf"/>
        <w:numPr>
          <w:ilvl w:val="0"/>
          <w:numId w:val="5"/>
        </w:numPr>
        <w:rPr>
          <w:rFonts w:ascii="Times New Roman" w:hAnsi="Times New Roman" w:cs="Times New Roman"/>
          <w:lang w:eastAsia="tr-TR"/>
        </w:rPr>
      </w:pPr>
      <w:r w:rsidRPr="00BC230B">
        <w:rPr>
          <w:rFonts w:ascii="Times New Roman" w:hAnsi="Times New Roman" w:cs="Times New Roman"/>
          <w:lang w:eastAsia="tr-TR"/>
        </w:rPr>
        <w:t>Seyahate Ait Belgeler</w:t>
      </w:r>
    </w:p>
    <w:p w:rsidR="00222F98" w:rsidRPr="00BC230B" w:rsidRDefault="00222F98" w:rsidP="00222F98">
      <w:pPr>
        <w:pStyle w:val="ListeParagraf"/>
        <w:numPr>
          <w:ilvl w:val="0"/>
          <w:numId w:val="6"/>
        </w:numPr>
        <w:rPr>
          <w:rFonts w:ascii="Times New Roman" w:hAnsi="Times New Roman" w:cs="Times New Roman"/>
          <w:lang w:eastAsia="tr-TR"/>
        </w:rPr>
      </w:pPr>
      <w:r w:rsidRPr="00BC230B">
        <w:rPr>
          <w:rFonts w:ascii="Times New Roman" w:hAnsi="Times New Roman" w:cs="Times New Roman"/>
          <w:lang w:eastAsia="tr-TR"/>
        </w:rPr>
        <w:t xml:space="preserve">Biletlerin Orijinalleri </w:t>
      </w:r>
    </w:p>
    <w:p w:rsidR="00222F98" w:rsidRPr="00BC230B" w:rsidRDefault="00222F98" w:rsidP="00222F98">
      <w:pPr>
        <w:pStyle w:val="ListeParagraf"/>
        <w:numPr>
          <w:ilvl w:val="0"/>
          <w:numId w:val="6"/>
        </w:numPr>
        <w:rPr>
          <w:rFonts w:ascii="Times New Roman" w:hAnsi="Times New Roman" w:cs="Times New Roman"/>
          <w:lang w:eastAsia="tr-TR"/>
        </w:rPr>
      </w:pPr>
      <w:r w:rsidRPr="00BC230B">
        <w:rPr>
          <w:rFonts w:ascii="Times New Roman" w:hAnsi="Times New Roman" w:cs="Times New Roman"/>
          <w:lang w:eastAsia="tr-TR"/>
        </w:rPr>
        <w:t>Uçuş Kartlarının Orijinalleri</w:t>
      </w:r>
    </w:p>
    <w:p w:rsidR="00222F98" w:rsidRPr="00BC230B" w:rsidRDefault="00222F98" w:rsidP="00222F98">
      <w:pPr>
        <w:pStyle w:val="ListeParagraf"/>
        <w:numPr>
          <w:ilvl w:val="0"/>
          <w:numId w:val="6"/>
        </w:numPr>
        <w:rPr>
          <w:rFonts w:ascii="Times New Roman" w:hAnsi="Times New Roman" w:cs="Times New Roman"/>
          <w:lang w:eastAsia="tr-TR"/>
        </w:rPr>
      </w:pPr>
      <w:r w:rsidRPr="00BC230B">
        <w:rPr>
          <w:rFonts w:ascii="Times New Roman" w:hAnsi="Times New Roman" w:cs="Times New Roman"/>
          <w:lang w:eastAsia="tr-TR"/>
        </w:rPr>
        <w:t>Fatura Makbuz vb Ödeme Belgelerinin Orijinalleri</w:t>
      </w:r>
    </w:p>
    <w:sectPr w:rsidR="00222F98" w:rsidRPr="00BC230B" w:rsidSect="0090519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39" w:rsidRDefault="00243C39" w:rsidP="00AA3DFE">
      <w:pPr>
        <w:spacing w:after="0" w:line="240" w:lineRule="auto"/>
      </w:pPr>
      <w:r>
        <w:separator/>
      </w:r>
    </w:p>
  </w:endnote>
  <w:endnote w:type="continuationSeparator" w:id="0">
    <w:p w:rsidR="00243C39" w:rsidRDefault="00243C39" w:rsidP="00AA3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6315"/>
      <w:docPartObj>
        <w:docPartGallery w:val="Page Numbers (Bottom of Page)"/>
        <w:docPartUnique/>
      </w:docPartObj>
    </w:sdtPr>
    <w:sdtContent>
      <w:p w:rsidR="00255C49" w:rsidRDefault="00075560">
        <w:pPr>
          <w:pStyle w:val="Altbilgi"/>
          <w:jc w:val="center"/>
        </w:pPr>
        <w:fldSimple w:instr=" PAGE   \* MERGEFORMAT ">
          <w:r w:rsidR="00A32F7B">
            <w:rPr>
              <w:noProof/>
            </w:rPr>
            <w:t>3</w:t>
          </w:r>
        </w:fldSimple>
      </w:p>
    </w:sdtContent>
  </w:sdt>
  <w:p w:rsidR="00255C49" w:rsidRDefault="00255C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39" w:rsidRDefault="00243C39" w:rsidP="00AA3DFE">
      <w:pPr>
        <w:spacing w:after="0" w:line="240" w:lineRule="auto"/>
      </w:pPr>
      <w:r>
        <w:separator/>
      </w:r>
    </w:p>
  </w:footnote>
  <w:footnote w:type="continuationSeparator" w:id="0">
    <w:p w:rsidR="00243C39" w:rsidRDefault="00243C39" w:rsidP="00AA3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49" w:rsidRDefault="00255C49">
    <w:pPr>
      <w:pStyle w:val="stbilgi"/>
    </w:pPr>
    <w:r>
      <w:rPr>
        <w:noProof/>
        <w:color w:val="6B0407"/>
        <w:sz w:val="21"/>
        <w:szCs w:val="21"/>
        <w:lang w:eastAsia="tr-TR"/>
      </w:rPr>
      <w:drawing>
        <wp:inline distT="0" distB="0" distL="0" distR="0">
          <wp:extent cx="979449" cy="590550"/>
          <wp:effectExtent l="19050" t="0" r="0" b="0"/>
          <wp:docPr id="1" name="Resim 1" descr="http://www.beykoz.edu.tr/sites/default/files/Beykoz-MYO-logo_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ykoz.edu.tr/sites/default/files/Beykoz-MYO-logo_3.jpg">
                    <a:hlinkClick r:id="rId1"/>
                  </pic:cNvPr>
                  <pic:cNvPicPr>
                    <a:picLocks noChangeAspect="1" noChangeArrowheads="1"/>
                  </pic:cNvPicPr>
                </pic:nvPicPr>
                <pic:blipFill>
                  <a:blip r:embed="rId2"/>
                  <a:srcRect/>
                  <a:stretch>
                    <a:fillRect/>
                  </a:stretch>
                </pic:blipFill>
                <pic:spPr bwMode="auto">
                  <a:xfrm>
                    <a:off x="0" y="0"/>
                    <a:ext cx="979449"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B"/>
    <w:multiLevelType w:val="hybridMultilevel"/>
    <w:tmpl w:val="B0C89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4913AD"/>
    <w:multiLevelType w:val="hybridMultilevel"/>
    <w:tmpl w:val="EAEE4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534735"/>
    <w:multiLevelType w:val="hybridMultilevel"/>
    <w:tmpl w:val="813C7F12"/>
    <w:lvl w:ilvl="0" w:tplc="8026B27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9B3B3D"/>
    <w:multiLevelType w:val="hybridMultilevel"/>
    <w:tmpl w:val="E94487C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221CD7"/>
    <w:multiLevelType w:val="multilevel"/>
    <w:tmpl w:val="041F0023"/>
    <w:lvl w:ilvl="0">
      <w:start w:val="1"/>
      <w:numFmt w:val="upperRoman"/>
      <w:lvlText w:val="Article %1."/>
      <w:lvlJc w:val="left"/>
      <w:pPr>
        <w:tabs>
          <w:tab w:val="num" w:pos="1440"/>
        </w:tabs>
        <w:ind w:left="0" w:firstLine="0"/>
      </w:pPr>
    </w:lvl>
    <w:lvl w:ilvl="1">
      <w:start w:val="1"/>
      <w:numFmt w:val="decimalZero"/>
      <w:pStyle w:val="Balk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7D7E2CC1"/>
    <w:multiLevelType w:val="hybridMultilevel"/>
    <w:tmpl w:val="66E6040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2DF7"/>
    <w:rsid w:val="00075560"/>
    <w:rsid w:val="00083E2A"/>
    <w:rsid w:val="00097717"/>
    <w:rsid w:val="000A1EDB"/>
    <w:rsid w:val="000E0282"/>
    <w:rsid w:val="00134C8D"/>
    <w:rsid w:val="0019458B"/>
    <w:rsid w:val="001B4AAD"/>
    <w:rsid w:val="001B7E3C"/>
    <w:rsid w:val="00222F98"/>
    <w:rsid w:val="00243C39"/>
    <w:rsid w:val="00255504"/>
    <w:rsid w:val="00255C49"/>
    <w:rsid w:val="00256964"/>
    <w:rsid w:val="0026245E"/>
    <w:rsid w:val="0027714D"/>
    <w:rsid w:val="002C1689"/>
    <w:rsid w:val="00360CD2"/>
    <w:rsid w:val="00371D1B"/>
    <w:rsid w:val="003C6A91"/>
    <w:rsid w:val="00400A62"/>
    <w:rsid w:val="00411294"/>
    <w:rsid w:val="004659AA"/>
    <w:rsid w:val="004C19E5"/>
    <w:rsid w:val="004F1B20"/>
    <w:rsid w:val="00554245"/>
    <w:rsid w:val="00557EDF"/>
    <w:rsid w:val="00564E92"/>
    <w:rsid w:val="005A255D"/>
    <w:rsid w:val="005B1BFD"/>
    <w:rsid w:val="006663E6"/>
    <w:rsid w:val="00687316"/>
    <w:rsid w:val="00692DF7"/>
    <w:rsid w:val="006C1FDE"/>
    <w:rsid w:val="006D577C"/>
    <w:rsid w:val="00700CE9"/>
    <w:rsid w:val="00740972"/>
    <w:rsid w:val="00792338"/>
    <w:rsid w:val="00794E5E"/>
    <w:rsid w:val="007F5A26"/>
    <w:rsid w:val="0082058D"/>
    <w:rsid w:val="00872A0F"/>
    <w:rsid w:val="008A7A5C"/>
    <w:rsid w:val="008C27B5"/>
    <w:rsid w:val="008C4A43"/>
    <w:rsid w:val="008E08E6"/>
    <w:rsid w:val="00905193"/>
    <w:rsid w:val="00955BE7"/>
    <w:rsid w:val="009B551B"/>
    <w:rsid w:val="009B751B"/>
    <w:rsid w:val="009C0D4E"/>
    <w:rsid w:val="009C7C4B"/>
    <w:rsid w:val="009D5569"/>
    <w:rsid w:val="00A17C1E"/>
    <w:rsid w:val="00A32F7B"/>
    <w:rsid w:val="00A42492"/>
    <w:rsid w:val="00A72AB6"/>
    <w:rsid w:val="00A7747B"/>
    <w:rsid w:val="00A93982"/>
    <w:rsid w:val="00AA3DFE"/>
    <w:rsid w:val="00AD237C"/>
    <w:rsid w:val="00B2593F"/>
    <w:rsid w:val="00B3638F"/>
    <w:rsid w:val="00B62518"/>
    <w:rsid w:val="00BA19F5"/>
    <w:rsid w:val="00BC230B"/>
    <w:rsid w:val="00BE0B89"/>
    <w:rsid w:val="00C34248"/>
    <w:rsid w:val="00C36C78"/>
    <w:rsid w:val="00C94F99"/>
    <w:rsid w:val="00D51985"/>
    <w:rsid w:val="00D55AD1"/>
    <w:rsid w:val="00D603AB"/>
    <w:rsid w:val="00D81AC0"/>
    <w:rsid w:val="00DE67AB"/>
    <w:rsid w:val="00DF0C27"/>
    <w:rsid w:val="00E24938"/>
    <w:rsid w:val="00E774DF"/>
    <w:rsid w:val="00EA2AE3"/>
    <w:rsid w:val="00EB1DDD"/>
    <w:rsid w:val="00F00D10"/>
    <w:rsid w:val="00F07C7A"/>
    <w:rsid w:val="00F14A6C"/>
    <w:rsid w:val="00F37B8A"/>
    <w:rsid w:val="00F62B85"/>
    <w:rsid w:val="00F753B8"/>
    <w:rsid w:val="00FB69C1"/>
    <w:rsid w:val="00FE73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7"/>
  </w:style>
  <w:style w:type="paragraph" w:styleId="Balk2">
    <w:name w:val="heading 2"/>
    <w:basedOn w:val="Normal"/>
    <w:next w:val="Normal"/>
    <w:link w:val="Balk2Char"/>
    <w:qFormat/>
    <w:rsid w:val="00FE7397"/>
    <w:pPr>
      <w:keepNext/>
      <w:numPr>
        <w:ilvl w:val="1"/>
        <w:numId w:val="1"/>
      </w:numPr>
      <w:spacing w:after="0" w:line="360" w:lineRule="auto"/>
      <w:outlineLvl w:val="1"/>
    </w:pPr>
    <w:rPr>
      <w:rFonts w:ascii="Times New Roman" w:eastAsia="Times New Roman" w:hAnsi="Times New Roman" w:cs="Times New Roman"/>
      <w:b/>
      <w:bCs/>
      <w:noProof/>
      <w:sz w:val="4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E73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E7397"/>
    <w:rPr>
      <w:rFonts w:ascii="Times New Roman" w:eastAsia="Times New Roman" w:hAnsi="Times New Roman" w:cs="Times New Roman"/>
      <w:b/>
      <w:bCs/>
      <w:noProof/>
      <w:sz w:val="40"/>
      <w:szCs w:val="24"/>
      <w:lang w:eastAsia="tr-TR"/>
    </w:rPr>
  </w:style>
  <w:style w:type="table" w:styleId="TabloKlavuzu">
    <w:name w:val="Table Grid"/>
    <w:basedOn w:val="NormalTablo"/>
    <w:uiPriority w:val="59"/>
    <w:rsid w:val="00134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A19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BA19F5"/>
    <w:rPr>
      <w:b/>
      <w:bCs/>
    </w:rPr>
  </w:style>
  <w:style w:type="character" w:styleId="Kpr">
    <w:name w:val="Hyperlink"/>
    <w:basedOn w:val="VarsaylanParagrafYazTipi"/>
    <w:uiPriority w:val="99"/>
    <w:unhideWhenUsed/>
    <w:rsid w:val="0026245E"/>
    <w:rPr>
      <w:color w:val="0000FF" w:themeColor="hyperlink"/>
      <w:u w:val="single"/>
    </w:rPr>
  </w:style>
  <w:style w:type="paragraph" w:styleId="stbilgi">
    <w:name w:val="header"/>
    <w:basedOn w:val="Normal"/>
    <w:link w:val="stbilgiChar"/>
    <w:uiPriority w:val="99"/>
    <w:semiHidden/>
    <w:unhideWhenUsed/>
    <w:rsid w:val="00AA3DF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A3DFE"/>
  </w:style>
  <w:style w:type="paragraph" w:styleId="Altbilgi">
    <w:name w:val="footer"/>
    <w:basedOn w:val="Normal"/>
    <w:link w:val="AltbilgiChar"/>
    <w:uiPriority w:val="99"/>
    <w:unhideWhenUsed/>
    <w:rsid w:val="00AA3D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3DFE"/>
  </w:style>
  <w:style w:type="paragraph" w:styleId="BalonMetni">
    <w:name w:val="Balloon Text"/>
    <w:basedOn w:val="Normal"/>
    <w:link w:val="BalonMetniChar"/>
    <w:uiPriority w:val="99"/>
    <w:semiHidden/>
    <w:unhideWhenUsed/>
    <w:rsid w:val="00AA3D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3DFE"/>
    <w:rPr>
      <w:rFonts w:ascii="Tahoma" w:hAnsi="Tahoma" w:cs="Tahoma"/>
      <w:sz w:val="16"/>
      <w:szCs w:val="16"/>
    </w:rPr>
  </w:style>
  <w:style w:type="paragraph" w:styleId="ListeParagraf">
    <w:name w:val="List Paragraph"/>
    <w:basedOn w:val="Normal"/>
    <w:uiPriority w:val="34"/>
    <w:qFormat/>
    <w:rsid w:val="00AA3D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beykoz.edu.tr/" TargetMode="External"/><Relationship Id="rId3" Type="http://schemas.openxmlformats.org/officeDocument/2006/relationships/settings" Target="settings.xml"/><Relationship Id="rId7" Type="http://schemas.openxmlformats.org/officeDocument/2006/relationships/hyperlink" Target="http://www.ui.beykoz.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eyko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6</Pages>
  <Words>1821</Words>
  <Characters>10381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hulyakadan</dc:creator>
  <cp:lastModifiedBy>hulyakadan</cp:lastModifiedBy>
  <cp:revision>40</cp:revision>
  <cp:lastPrinted>2012-10-31T09:21:00Z</cp:lastPrinted>
  <dcterms:created xsi:type="dcterms:W3CDTF">2012-10-29T21:12:00Z</dcterms:created>
  <dcterms:modified xsi:type="dcterms:W3CDTF">2013-12-24T13:15:00Z</dcterms:modified>
</cp:coreProperties>
</file>