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59" w:rsidRPr="00052DAB" w:rsidRDefault="00796C59" w:rsidP="00436DA8">
      <w:pPr>
        <w:jc w:val="both"/>
      </w:pPr>
    </w:p>
    <w:p w:rsidR="00DC07FC" w:rsidRPr="001B3D78" w:rsidRDefault="00DC07FC" w:rsidP="00436DA8">
      <w:pPr>
        <w:spacing w:after="0" w:line="240" w:lineRule="auto"/>
        <w:jc w:val="center"/>
        <w:rPr>
          <w:rFonts w:cs="Times New Roman"/>
          <w:b/>
          <w:bCs/>
          <w:sz w:val="24"/>
        </w:rPr>
      </w:pPr>
      <w:r w:rsidRPr="001B3D78">
        <w:rPr>
          <w:rFonts w:cs="Times New Roman"/>
          <w:b/>
          <w:bCs/>
          <w:sz w:val="24"/>
        </w:rPr>
        <w:t>BEYKOZ UNIVERSITY</w:t>
      </w:r>
    </w:p>
    <w:p w:rsidR="00DC07FC" w:rsidRPr="001B3D78" w:rsidRDefault="00DC07FC" w:rsidP="00436DA8">
      <w:pPr>
        <w:spacing w:after="0" w:line="240" w:lineRule="auto"/>
        <w:jc w:val="center"/>
        <w:rPr>
          <w:rFonts w:eastAsia="Times New Roman" w:cs="Courier New"/>
          <w:b/>
          <w:color w:val="222222"/>
          <w:sz w:val="24"/>
          <w:lang w:val="tr-TR" w:eastAsia="tr-TR"/>
        </w:rPr>
      </w:pPr>
      <w:r w:rsidRPr="001B3D78">
        <w:rPr>
          <w:rFonts w:eastAsia="Times New Roman" w:cs="Courier New"/>
          <w:b/>
          <w:color w:val="222222"/>
          <w:sz w:val="24"/>
          <w:lang w:eastAsia="tr-TR"/>
        </w:rPr>
        <w:t xml:space="preserve">SUMMER EDUCATION </w:t>
      </w:r>
      <w:r w:rsidR="00052DAB" w:rsidRPr="001B3D78">
        <w:rPr>
          <w:rFonts w:eastAsia="Times New Roman" w:cs="Courier New"/>
          <w:b/>
          <w:color w:val="222222"/>
          <w:sz w:val="24"/>
          <w:lang w:eastAsia="tr-TR"/>
        </w:rPr>
        <w:t>DIRECTVE</w:t>
      </w:r>
    </w:p>
    <w:p w:rsidR="00DC07FC" w:rsidRPr="00052DAB" w:rsidRDefault="00DC07FC" w:rsidP="00436DA8">
      <w:pPr>
        <w:jc w:val="both"/>
      </w:pPr>
    </w:p>
    <w:p w:rsidR="00052DAB" w:rsidRPr="0017529B" w:rsidRDefault="00052DAB" w:rsidP="00436DA8">
      <w:pPr>
        <w:spacing w:after="0" w:line="240" w:lineRule="auto"/>
        <w:jc w:val="both"/>
        <w:rPr>
          <w:i/>
          <w:iCs/>
        </w:rPr>
      </w:pPr>
      <w:r w:rsidRPr="0017529B">
        <w:rPr>
          <w:i/>
          <w:iCs/>
        </w:rPr>
        <w:t>Receiving authority, date and number: Senate, 17.05.2018 / 4</w:t>
      </w:r>
    </w:p>
    <w:p w:rsidR="00052DAB" w:rsidRPr="0017529B" w:rsidRDefault="00052DAB" w:rsidP="00436DA8">
      <w:pPr>
        <w:spacing w:after="0" w:line="240" w:lineRule="auto"/>
        <w:jc w:val="both"/>
        <w:rPr>
          <w:i/>
          <w:iCs/>
        </w:rPr>
      </w:pPr>
      <w:r w:rsidRPr="0017529B">
        <w:rPr>
          <w:i/>
          <w:iCs/>
        </w:rPr>
        <w:t xml:space="preserve">Additions and </w:t>
      </w:r>
      <w:r w:rsidR="00C40765">
        <w:rPr>
          <w:i/>
          <w:iCs/>
        </w:rPr>
        <w:t>amendments</w:t>
      </w:r>
      <w:r w:rsidRPr="0017529B">
        <w:rPr>
          <w:i/>
          <w:iCs/>
        </w:rPr>
        <w:t>: Senate, 23.05.2019 / 4</w:t>
      </w:r>
    </w:p>
    <w:p w:rsidR="00052DAB" w:rsidRPr="0017529B" w:rsidRDefault="00052DAB" w:rsidP="00436DA8">
      <w:pPr>
        <w:spacing w:after="0" w:line="240" w:lineRule="auto"/>
        <w:jc w:val="both"/>
        <w:rPr>
          <w:i/>
          <w:iCs/>
        </w:rPr>
      </w:pPr>
      <w:r w:rsidRPr="0017529B">
        <w:rPr>
          <w:i/>
          <w:iCs/>
        </w:rPr>
        <w:t xml:space="preserve">Additional and </w:t>
      </w:r>
      <w:r w:rsidR="00C40765">
        <w:rPr>
          <w:i/>
          <w:iCs/>
        </w:rPr>
        <w:t>amendment</w:t>
      </w:r>
      <w:r w:rsidRPr="0017529B">
        <w:rPr>
          <w:i/>
          <w:iCs/>
        </w:rPr>
        <w:t xml:space="preserve"> check date: 23.05.2019</w:t>
      </w:r>
    </w:p>
    <w:p w:rsidR="00796C59" w:rsidRPr="00052DAB" w:rsidRDefault="00796C59" w:rsidP="00436DA8">
      <w:pPr>
        <w:jc w:val="both"/>
        <w:rPr>
          <w:rFonts w:cs="Times New Roman"/>
        </w:rPr>
      </w:pPr>
    </w:p>
    <w:p w:rsidR="00052DAB" w:rsidRPr="00052DAB" w:rsidRDefault="00052DAB" w:rsidP="00436DA8">
      <w:pPr>
        <w:spacing w:after="0" w:line="240" w:lineRule="auto"/>
        <w:jc w:val="both"/>
        <w:rPr>
          <w:rFonts w:cs="Times New Roman"/>
          <w:b/>
        </w:rPr>
      </w:pPr>
      <w:r w:rsidRPr="00052DAB">
        <w:rPr>
          <w:rFonts w:cs="Times New Roman"/>
          <w:b/>
        </w:rPr>
        <w:t>Purpose</w:t>
      </w:r>
    </w:p>
    <w:p w:rsidR="00DC07FC" w:rsidRPr="0017529B" w:rsidRDefault="001726C5" w:rsidP="00436DA8">
      <w:pPr>
        <w:spacing w:after="0" w:line="240" w:lineRule="auto"/>
        <w:jc w:val="both"/>
        <w:rPr>
          <w:color w:val="222222"/>
        </w:rPr>
      </w:pPr>
      <w:r w:rsidRPr="0017529B">
        <w:rPr>
          <w:b/>
          <w:color w:val="222222"/>
        </w:rPr>
        <w:t xml:space="preserve">ARTICLE </w:t>
      </w:r>
      <w:r w:rsidR="00052DAB" w:rsidRPr="0017529B">
        <w:rPr>
          <w:b/>
          <w:color w:val="222222"/>
        </w:rPr>
        <w:t xml:space="preserve"> 1 - (1)</w:t>
      </w:r>
      <w:r w:rsidR="00052DAB" w:rsidRPr="00052DAB">
        <w:rPr>
          <w:color w:val="222222"/>
        </w:rPr>
        <w:t xml:space="preserve"> The purpose of this Directive is to regulate the principles regarding the Summer Education applied at </w:t>
      </w:r>
      <w:proofErr w:type="spellStart"/>
      <w:r w:rsidR="00052DAB" w:rsidRPr="00052DAB">
        <w:rPr>
          <w:color w:val="222222"/>
        </w:rPr>
        <w:t>Beykoz</w:t>
      </w:r>
      <w:proofErr w:type="spellEnd"/>
      <w:r w:rsidR="00052DAB" w:rsidRPr="00052DAB">
        <w:rPr>
          <w:color w:val="222222"/>
        </w:rPr>
        <w:t xml:space="preserve"> University.</w:t>
      </w:r>
    </w:p>
    <w:p w:rsidR="00436DA8" w:rsidRDefault="00436DA8" w:rsidP="00436DA8">
      <w:pPr>
        <w:jc w:val="both"/>
        <w:rPr>
          <w:rFonts w:cs="Times New Roman"/>
          <w:b/>
          <w:bCs/>
        </w:rPr>
      </w:pPr>
    </w:p>
    <w:p w:rsidR="00796C59" w:rsidRPr="00052DAB" w:rsidRDefault="00052DAB" w:rsidP="00436DA8">
      <w:pPr>
        <w:spacing w:after="0" w:line="240" w:lineRule="auto"/>
        <w:jc w:val="both"/>
        <w:rPr>
          <w:rFonts w:cs="Times New Roman"/>
        </w:rPr>
      </w:pPr>
      <w:r>
        <w:rPr>
          <w:rFonts w:cs="Times New Roman"/>
          <w:b/>
          <w:bCs/>
        </w:rPr>
        <w:t>Scope</w:t>
      </w:r>
    </w:p>
    <w:p w:rsidR="00DC07FC" w:rsidRPr="0017529B" w:rsidRDefault="001726C5" w:rsidP="00436DA8">
      <w:pPr>
        <w:spacing w:after="0" w:line="240" w:lineRule="auto"/>
        <w:jc w:val="both"/>
        <w:rPr>
          <w:color w:val="222222"/>
        </w:rPr>
      </w:pPr>
      <w:r w:rsidRPr="0017529B">
        <w:rPr>
          <w:b/>
          <w:color w:val="222222"/>
        </w:rPr>
        <w:t xml:space="preserve">ARTICLE </w:t>
      </w:r>
      <w:r w:rsidR="00052DAB" w:rsidRPr="0017529B">
        <w:rPr>
          <w:b/>
          <w:color w:val="222222"/>
        </w:rPr>
        <w:t xml:space="preserve"> 2 - (1)</w:t>
      </w:r>
      <w:r w:rsidR="00052DAB">
        <w:rPr>
          <w:color w:val="222222"/>
        </w:rPr>
        <w:t xml:space="preserve"> </w:t>
      </w:r>
      <w:r w:rsidR="00DC07FC" w:rsidRPr="00052DAB">
        <w:rPr>
          <w:color w:val="222222"/>
        </w:rPr>
        <w:t xml:space="preserve">This Directive covers the provisions regarding education programs opened in the summer months for students enrolled in </w:t>
      </w:r>
      <w:proofErr w:type="spellStart"/>
      <w:r w:rsidR="00DC07FC" w:rsidRPr="00052DAB">
        <w:rPr>
          <w:color w:val="222222"/>
        </w:rPr>
        <w:t>Beykoz</w:t>
      </w:r>
      <w:proofErr w:type="spellEnd"/>
      <w:r w:rsidR="00DC07FC" w:rsidRPr="00052DAB">
        <w:rPr>
          <w:color w:val="222222"/>
        </w:rPr>
        <w:t xml:space="preserve"> University, students enrolled in other higher education institutions, and those who are not enrolled in any higher education institution but who wish to enroll in courses offered by </w:t>
      </w:r>
      <w:proofErr w:type="spellStart"/>
      <w:r w:rsidR="00DC07FC" w:rsidRPr="00052DAB">
        <w:rPr>
          <w:color w:val="222222"/>
        </w:rPr>
        <w:t>Beykoz</w:t>
      </w:r>
      <w:proofErr w:type="spellEnd"/>
      <w:r w:rsidR="00DC07FC" w:rsidRPr="00052DAB">
        <w:rPr>
          <w:color w:val="222222"/>
        </w:rPr>
        <w:t xml:space="preserve"> University.</w:t>
      </w:r>
    </w:p>
    <w:p w:rsidR="00436DA8" w:rsidRDefault="00436DA8" w:rsidP="00436DA8">
      <w:pPr>
        <w:jc w:val="both"/>
        <w:rPr>
          <w:rFonts w:cs="Times New Roman"/>
          <w:b/>
          <w:bCs/>
        </w:rPr>
      </w:pPr>
    </w:p>
    <w:p w:rsidR="00796C59" w:rsidRPr="00052DAB" w:rsidRDefault="00052DAB" w:rsidP="00436DA8">
      <w:pPr>
        <w:spacing w:after="0" w:line="240" w:lineRule="auto"/>
        <w:jc w:val="both"/>
        <w:rPr>
          <w:rFonts w:cs="Times New Roman"/>
        </w:rPr>
      </w:pPr>
      <w:r>
        <w:rPr>
          <w:rFonts w:cs="Times New Roman"/>
          <w:b/>
          <w:bCs/>
        </w:rPr>
        <w:t>Basis</w:t>
      </w:r>
    </w:p>
    <w:p w:rsidR="00DC07FC" w:rsidRPr="0017529B" w:rsidRDefault="001726C5" w:rsidP="00436DA8">
      <w:pPr>
        <w:spacing w:after="0" w:line="240" w:lineRule="auto"/>
        <w:jc w:val="both"/>
        <w:rPr>
          <w:color w:val="222222"/>
        </w:rPr>
      </w:pPr>
      <w:r>
        <w:rPr>
          <w:rFonts w:cs="Times New Roman"/>
          <w:b/>
          <w:bCs/>
        </w:rPr>
        <w:t xml:space="preserve">ARTICLE </w:t>
      </w:r>
      <w:r w:rsidRPr="00052DAB">
        <w:rPr>
          <w:rFonts w:cs="Times New Roman"/>
          <w:b/>
          <w:bCs/>
        </w:rPr>
        <w:t xml:space="preserve">3 – (1) </w:t>
      </w:r>
      <w:r w:rsidR="00DC07FC" w:rsidRPr="0017529B">
        <w:rPr>
          <w:color w:val="222222"/>
        </w:rPr>
        <w:t xml:space="preserve">This Directive has been prepared based on the Higher Education Law No. 2547, the relevant legislation of the Higher Education Council and the relevant </w:t>
      </w:r>
      <w:r w:rsidRPr="0017529B">
        <w:rPr>
          <w:color w:val="222222"/>
        </w:rPr>
        <w:t xml:space="preserve">ARTICLE </w:t>
      </w:r>
      <w:r w:rsidR="00DC07FC" w:rsidRPr="0017529B">
        <w:rPr>
          <w:color w:val="222222"/>
        </w:rPr>
        <w:t xml:space="preserve">s of the </w:t>
      </w:r>
      <w:proofErr w:type="spellStart"/>
      <w:r w:rsidR="00DC07FC" w:rsidRPr="0017529B">
        <w:rPr>
          <w:color w:val="222222"/>
        </w:rPr>
        <w:t>Beykoz</w:t>
      </w:r>
      <w:proofErr w:type="spellEnd"/>
      <w:r w:rsidR="00DC07FC" w:rsidRPr="0017529B">
        <w:rPr>
          <w:color w:val="222222"/>
        </w:rPr>
        <w:t xml:space="preserve"> University Undergraduate-Associate Degree Education-Training Regulation, </w:t>
      </w:r>
      <w:proofErr w:type="spellStart"/>
      <w:r w:rsidR="00DC07FC" w:rsidRPr="0017529B">
        <w:rPr>
          <w:color w:val="222222"/>
        </w:rPr>
        <w:t>Beykoz</w:t>
      </w:r>
      <w:proofErr w:type="spellEnd"/>
      <w:r w:rsidR="00DC07FC" w:rsidRPr="0017529B">
        <w:rPr>
          <w:color w:val="222222"/>
        </w:rPr>
        <w:t xml:space="preserve"> University English Preparatory Program Education-Training and Examination Directive and </w:t>
      </w:r>
      <w:proofErr w:type="spellStart"/>
      <w:r w:rsidR="00DC07FC" w:rsidRPr="0017529B">
        <w:rPr>
          <w:color w:val="222222"/>
        </w:rPr>
        <w:t>Beykoz</w:t>
      </w:r>
      <w:proofErr w:type="spellEnd"/>
      <w:r w:rsidR="00DC07FC" w:rsidRPr="0017529B">
        <w:rPr>
          <w:color w:val="222222"/>
        </w:rPr>
        <w:t xml:space="preserve"> University Postgraduate Education Regulation.</w:t>
      </w:r>
    </w:p>
    <w:p w:rsidR="00436DA8" w:rsidRDefault="00436DA8" w:rsidP="00436DA8">
      <w:pPr>
        <w:jc w:val="both"/>
        <w:rPr>
          <w:rFonts w:cs="Times New Roman"/>
          <w:b/>
          <w:bCs/>
        </w:rPr>
      </w:pPr>
    </w:p>
    <w:p w:rsidR="001726C5" w:rsidRPr="00052DAB" w:rsidRDefault="001726C5" w:rsidP="00436DA8">
      <w:pPr>
        <w:spacing w:after="0" w:line="240" w:lineRule="auto"/>
        <w:jc w:val="both"/>
        <w:rPr>
          <w:rFonts w:cs="Times New Roman"/>
        </w:rPr>
      </w:pPr>
      <w:r>
        <w:rPr>
          <w:rFonts w:cs="Times New Roman"/>
          <w:b/>
          <w:bCs/>
        </w:rPr>
        <w:t>Definitions</w:t>
      </w:r>
    </w:p>
    <w:p w:rsidR="001726C5" w:rsidRDefault="0017529B" w:rsidP="00436DA8">
      <w:pPr>
        <w:spacing w:after="0" w:line="240" w:lineRule="auto"/>
        <w:jc w:val="both"/>
        <w:rPr>
          <w:rFonts w:cs="Arial"/>
          <w:color w:val="222222"/>
          <w:shd w:val="clear" w:color="auto" w:fill="F8F9FA"/>
        </w:rPr>
      </w:pPr>
      <w:r>
        <w:rPr>
          <w:rFonts w:cs="Times New Roman"/>
          <w:b/>
          <w:bCs/>
        </w:rPr>
        <w:t xml:space="preserve">ARTICLE </w:t>
      </w:r>
      <w:r w:rsidRPr="00052DAB">
        <w:rPr>
          <w:rFonts w:cs="Times New Roman"/>
          <w:b/>
          <w:bCs/>
        </w:rPr>
        <w:t>4 – (1)</w:t>
      </w:r>
      <w:r>
        <w:t xml:space="preserve"> </w:t>
      </w:r>
      <w:r w:rsidR="00DC07FC" w:rsidRPr="000467EA">
        <w:rPr>
          <w:rFonts w:cs="Arial"/>
          <w:color w:val="222222"/>
          <w:shd w:val="clear" w:color="auto" w:fill="F8F9FA"/>
        </w:rPr>
        <w:t>In this Di</w:t>
      </w:r>
      <w:r w:rsidR="001726C5" w:rsidRPr="000467EA">
        <w:rPr>
          <w:rFonts w:cs="Arial"/>
          <w:color w:val="222222"/>
          <w:shd w:val="clear" w:color="auto" w:fill="F8F9FA"/>
        </w:rPr>
        <w:t>rective, the following expressions have been used:</w:t>
      </w:r>
    </w:p>
    <w:p w:rsidR="001726C5" w:rsidRPr="0017529B" w:rsidRDefault="00DC07FC" w:rsidP="00436DA8">
      <w:pPr>
        <w:spacing w:after="0" w:line="240" w:lineRule="auto"/>
        <w:jc w:val="both"/>
        <w:rPr>
          <w:color w:val="222222"/>
        </w:rPr>
      </w:pPr>
      <w:r w:rsidRPr="0017529B">
        <w:rPr>
          <w:color w:val="222222"/>
        </w:rPr>
        <w:t xml:space="preserve">a) ECTS; European Credit Transfer System </w:t>
      </w:r>
    </w:p>
    <w:p w:rsidR="001726C5" w:rsidRPr="0017529B" w:rsidRDefault="00DC07FC" w:rsidP="00436DA8">
      <w:pPr>
        <w:spacing w:after="0" w:line="240" w:lineRule="auto"/>
        <w:jc w:val="both"/>
        <w:rPr>
          <w:color w:val="222222"/>
        </w:rPr>
      </w:pPr>
      <w:r w:rsidRPr="0017529B">
        <w:rPr>
          <w:color w:val="222222"/>
        </w:rPr>
        <w:t xml:space="preserve">b) EBS; </w:t>
      </w:r>
      <w:proofErr w:type="spellStart"/>
      <w:r w:rsidRPr="0017529B">
        <w:rPr>
          <w:color w:val="222222"/>
        </w:rPr>
        <w:t>Beykoz</w:t>
      </w:r>
      <w:proofErr w:type="spellEnd"/>
      <w:r w:rsidRPr="0017529B">
        <w:rPr>
          <w:color w:val="222222"/>
        </w:rPr>
        <w:t xml:space="preserve"> University Education and Training Information System, </w:t>
      </w:r>
    </w:p>
    <w:p w:rsidR="001726C5" w:rsidRPr="0017529B" w:rsidRDefault="00DC07FC" w:rsidP="00436DA8">
      <w:pPr>
        <w:spacing w:after="0" w:line="240" w:lineRule="auto"/>
        <w:jc w:val="both"/>
        <w:rPr>
          <w:color w:val="222222"/>
        </w:rPr>
      </w:pPr>
      <w:r w:rsidRPr="0017529B">
        <w:rPr>
          <w:color w:val="222222"/>
        </w:rPr>
        <w:t>c) Related Unit; Faculties, institutes, colleges and vocational schools affi</w:t>
      </w:r>
      <w:r w:rsidR="001726C5" w:rsidRPr="0017529B">
        <w:rPr>
          <w:color w:val="222222"/>
        </w:rPr>
        <w:t xml:space="preserve">liated with </w:t>
      </w:r>
      <w:proofErr w:type="spellStart"/>
      <w:r w:rsidR="001726C5" w:rsidRPr="0017529B">
        <w:rPr>
          <w:color w:val="222222"/>
        </w:rPr>
        <w:t>Beykoz</w:t>
      </w:r>
      <w:proofErr w:type="spellEnd"/>
      <w:r w:rsidR="001726C5" w:rsidRPr="0017529B">
        <w:rPr>
          <w:color w:val="222222"/>
        </w:rPr>
        <w:t xml:space="preserve"> University, d</w:t>
      </w:r>
      <w:r w:rsidRPr="0017529B">
        <w:rPr>
          <w:color w:val="222222"/>
        </w:rPr>
        <w:t xml:space="preserve">) Related Board; Faculty, institute, college and vocational school boards affiliated to </w:t>
      </w:r>
      <w:proofErr w:type="spellStart"/>
      <w:r w:rsidRPr="0017529B">
        <w:rPr>
          <w:color w:val="222222"/>
        </w:rPr>
        <w:t>Beykoz</w:t>
      </w:r>
      <w:proofErr w:type="spellEnd"/>
      <w:r w:rsidRPr="0017529B">
        <w:rPr>
          <w:color w:val="222222"/>
        </w:rPr>
        <w:t xml:space="preserve"> University, </w:t>
      </w:r>
    </w:p>
    <w:p w:rsidR="001726C5" w:rsidRPr="0017529B" w:rsidRDefault="001726C5" w:rsidP="00436DA8">
      <w:pPr>
        <w:spacing w:after="0" w:line="240" w:lineRule="auto"/>
        <w:jc w:val="both"/>
        <w:rPr>
          <w:color w:val="222222"/>
        </w:rPr>
      </w:pPr>
      <w:r w:rsidRPr="0017529B">
        <w:rPr>
          <w:color w:val="222222"/>
        </w:rPr>
        <w:t>e</w:t>
      </w:r>
      <w:r w:rsidR="00DC07FC" w:rsidRPr="0017529B">
        <w:rPr>
          <w:color w:val="222222"/>
        </w:rPr>
        <w:t xml:space="preserve">) Related Board of Directors; Faculties, institutes, schools of higher education and vocational schools affiliated with </w:t>
      </w:r>
      <w:proofErr w:type="spellStart"/>
      <w:r w:rsidR="00DC07FC" w:rsidRPr="0017529B">
        <w:rPr>
          <w:color w:val="222222"/>
        </w:rPr>
        <w:t>Beykoz</w:t>
      </w:r>
      <w:proofErr w:type="spellEnd"/>
      <w:r w:rsidR="00DC07FC" w:rsidRPr="0017529B">
        <w:rPr>
          <w:color w:val="222222"/>
        </w:rPr>
        <w:t xml:space="preserve"> University, </w:t>
      </w:r>
    </w:p>
    <w:p w:rsidR="001726C5" w:rsidRPr="0017529B" w:rsidRDefault="001726C5" w:rsidP="00436DA8">
      <w:pPr>
        <w:spacing w:after="0" w:line="240" w:lineRule="auto"/>
        <w:jc w:val="both"/>
        <w:rPr>
          <w:color w:val="222222"/>
        </w:rPr>
      </w:pPr>
      <w:r w:rsidRPr="0017529B">
        <w:rPr>
          <w:color w:val="222222"/>
        </w:rPr>
        <w:t>f</w:t>
      </w:r>
      <w:r w:rsidR="00DC07FC" w:rsidRPr="0017529B">
        <w:rPr>
          <w:color w:val="222222"/>
        </w:rPr>
        <w:t xml:space="preserve">) Board of Trustees; </w:t>
      </w:r>
      <w:proofErr w:type="spellStart"/>
      <w:r w:rsidR="00DC07FC" w:rsidRPr="0017529B">
        <w:rPr>
          <w:color w:val="222222"/>
        </w:rPr>
        <w:t>Beykoz</w:t>
      </w:r>
      <w:proofErr w:type="spellEnd"/>
      <w:r w:rsidR="00DC07FC" w:rsidRPr="0017529B">
        <w:rPr>
          <w:color w:val="222222"/>
        </w:rPr>
        <w:t xml:space="preserve"> University Board of Trustees, </w:t>
      </w:r>
    </w:p>
    <w:p w:rsidR="001726C5" w:rsidRPr="0017529B" w:rsidRDefault="001726C5" w:rsidP="00436DA8">
      <w:pPr>
        <w:spacing w:after="0" w:line="240" w:lineRule="auto"/>
        <w:jc w:val="both"/>
        <w:rPr>
          <w:color w:val="222222"/>
        </w:rPr>
      </w:pPr>
      <w:r w:rsidRPr="0017529B">
        <w:rPr>
          <w:color w:val="222222"/>
        </w:rPr>
        <w:t>g</w:t>
      </w:r>
      <w:r w:rsidR="00DC07FC" w:rsidRPr="0017529B">
        <w:rPr>
          <w:color w:val="222222"/>
        </w:rPr>
        <w:t xml:space="preserve">) Registrar's Office; </w:t>
      </w:r>
      <w:proofErr w:type="spellStart"/>
      <w:r w:rsidR="00DC07FC" w:rsidRPr="0017529B">
        <w:rPr>
          <w:color w:val="222222"/>
        </w:rPr>
        <w:t>Beykoz</w:t>
      </w:r>
      <w:proofErr w:type="spellEnd"/>
      <w:r w:rsidR="00DC07FC" w:rsidRPr="0017529B">
        <w:rPr>
          <w:color w:val="222222"/>
        </w:rPr>
        <w:t xml:space="preserve"> University Registrar's Office, </w:t>
      </w:r>
    </w:p>
    <w:p w:rsidR="001726C5" w:rsidRPr="0017529B" w:rsidRDefault="00DC07FC" w:rsidP="00436DA8">
      <w:pPr>
        <w:spacing w:after="0" w:line="240" w:lineRule="auto"/>
        <w:jc w:val="both"/>
        <w:rPr>
          <w:color w:val="222222"/>
        </w:rPr>
      </w:pPr>
      <w:r w:rsidRPr="0017529B">
        <w:rPr>
          <w:color w:val="222222"/>
        </w:rPr>
        <w:t xml:space="preserve">h) University Executive Board; </w:t>
      </w:r>
      <w:proofErr w:type="spellStart"/>
      <w:r w:rsidRPr="0017529B">
        <w:rPr>
          <w:color w:val="222222"/>
        </w:rPr>
        <w:t>Beykoz</w:t>
      </w:r>
      <w:proofErr w:type="spellEnd"/>
      <w:r w:rsidRPr="0017529B">
        <w:rPr>
          <w:color w:val="222222"/>
        </w:rPr>
        <w:t xml:space="preserve"> University Executive Board, </w:t>
      </w:r>
    </w:p>
    <w:p w:rsidR="001726C5" w:rsidRPr="0017529B" w:rsidRDefault="001726C5" w:rsidP="00436DA8">
      <w:pPr>
        <w:spacing w:after="0" w:line="240" w:lineRule="auto"/>
        <w:jc w:val="both"/>
        <w:rPr>
          <w:color w:val="222222"/>
        </w:rPr>
      </w:pPr>
      <w:proofErr w:type="spellStart"/>
      <w:r w:rsidRPr="0017529B">
        <w:rPr>
          <w:color w:val="222222"/>
        </w:rPr>
        <w:t>i</w:t>
      </w:r>
      <w:proofErr w:type="spellEnd"/>
      <w:r w:rsidR="00DC07FC" w:rsidRPr="0017529B">
        <w:rPr>
          <w:color w:val="222222"/>
        </w:rPr>
        <w:t xml:space="preserve">) Financial Affairs Directorate; </w:t>
      </w:r>
      <w:proofErr w:type="spellStart"/>
      <w:r w:rsidR="00DC07FC" w:rsidRPr="0017529B">
        <w:rPr>
          <w:color w:val="222222"/>
        </w:rPr>
        <w:t>Beykoz</w:t>
      </w:r>
      <w:proofErr w:type="spellEnd"/>
      <w:r w:rsidR="00DC07FC" w:rsidRPr="0017529B">
        <w:rPr>
          <w:color w:val="222222"/>
        </w:rPr>
        <w:t xml:space="preserve"> University Financial Affairs Directorate, </w:t>
      </w:r>
    </w:p>
    <w:p w:rsidR="001726C5" w:rsidRPr="0017529B" w:rsidRDefault="001726C5" w:rsidP="00436DA8">
      <w:pPr>
        <w:spacing w:after="0" w:line="240" w:lineRule="auto"/>
        <w:jc w:val="both"/>
        <w:rPr>
          <w:color w:val="222222"/>
        </w:rPr>
      </w:pPr>
      <w:r w:rsidRPr="0017529B">
        <w:rPr>
          <w:color w:val="222222"/>
        </w:rPr>
        <w:t>j</w:t>
      </w:r>
      <w:r w:rsidR="00DC07FC" w:rsidRPr="0017529B">
        <w:rPr>
          <w:color w:val="222222"/>
        </w:rPr>
        <w:t xml:space="preserve">) Academic Calendar; </w:t>
      </w:r>
      <w:proofErr w:type="spellStart"/>
      <w:r w:rsidR="00DC07FC" w:rsidRPr="0017529B">
        <w:rPr>
          <w:color w:val="222222"/>
        </w:rPr>
        <w:t>Beykoz</w:t>
      </w:r>
      <w:proofErr w:type="spellEnd"/>
      <w:r w:rsidR="00DC07FC" w:rsidRPr="0017529B">
        <w:rPr>
          <w:color w:val="222222"/>
        </w:rPr>
        <w:t xml:space="preserve"> University Academic Calendar </w:t>
      </w:r>
    </w:p>
    <w:p w:rsidR="001726C5" w:rsidRPr="0017529B" w:rsidRDefault="001726C5" w:rsidP="00436DA8">
      <w:pPr>
        <w:spacing w:after="0" w:line="240" w:lineRule="auto"/>
        <w:jc w:val="both"/>
        <w:rPr>
          <w:color w:val="222222"/>
        </w:rPr>
      </w:pPr>
      <w:r w:rsidRPr="0017529B">
        <w:rPr>
          <w:color w:val="222222"/>
        </w:rPr>
        <w:t>k</w:t>
      </w:r>
      <w:r w:rsidR="00DC07FC" w:rsidRPr="0017529B">
        <w:rPr>
          <w:color w:val="222222"/>
        </w:rPr>
        <w:t xml:space="preserve">) Rector; </w:t>
      </w:r>
      <w:proofErr w:type="spellStart"/>
      <w:r w:rsidR="00DC07FC" w:rsidRPr="0017529B">
        <w:rPr>
          <w:color w:val="222222"/>
        </w:rPr>
        <w:t>Beykoz</w:t>
      </w:r>
      <w:proofErr w:type="spellEnd"/>
      <w:r w:rsidR="00DC07FC" w:rsidRPr="0017529B">
        <w:rPr>
          <w:color w:val="222222"/>
        </w:rPr>
        <w:t xml:space="preserve"> University Rector, </w:t>
      </w:r>
    </w:p>
    <w:p w:rsidR="001726C5" w:rsidRPr="0017529B" w:rsidRDefault="001726C5" w:rsidP="00436DA8">
      <w:pPr>
        <w:spacing w:after="0" w:line="240" w:lineRule="auto"/>
        <w:jc w:val="both"/>
        <w:rPr>
          <w:color w:val="222222"/>
        </w:rPr>
      </w:pPr>
      <w:r w:rsidRPr="0017529B">
        <w:rPr>
          <w:color w:val="222222"/>
        </w:rPr>
        <w:t>l</w:t>
      </w:r>
      <w:r w:rsidR="00DC07FC" w:rsidRPr="0017529B">
        <w:rPr>
          <w:color w:val="222222"/>
        </w:rPr>
        <w:t xml:space="preserve">) Senate; </w:t>
      </w:r>
      <w:proofErr w:type="spellStart"/>
      <w:r w:rsidR="00DC07FC" w:rsidRPr="0017529B">
        <w:rPr>
          <w:color w:val="222222"/>
        </w:rPr>
        <w:t>Beykoz</w:t>
      </w:r>
      <w:proofErr w:type="spellEnd"/>
      <w:r w:rsidR="00DC07FC" w:rsidRPr="0017529B">
        <w:rPr>
          <w:color w:val="222222"/>
        </w:rPr>
        <w:t xml:space="preserve"> University Senate, </w:t>
      </w:r>
    </w:p>
    <w:p w:rsidR="001726C5" w:rsidRPr="0017529B" w:rsidRDefault="001726C5" w:rsidP="00436DA8">
      <w:pPr>
        <w:spacing w:after="0" w:line="240" w:lineRule="auto"/>
        <w:jc w:val="both"/>
        <w:rPr>
          <w:color w:val="222222"/>
        </w:rPr>
      </w:pPr>
      <w:r w:rsidRPr="0017529B">
        <w:rPr>
          <w:color w:val="222222"/>
        </w:rPr>
        <w:t>m</w:t>
      </w:r>
      <w:r w:rsidR="00DC07FC" w:rsidRPr="0017529B">
        <w:rPr>
          <w:color w:val="222222"/>
        </w:rPr>
        <w:t xml:space="preserve">) YÖK; Higher Education Council </w:t>
      </w:r>
    </w:p>
    <w:p w:rsidR="00DC07FC" w:rsidRPr="0017529B" w:rsidRDefault="001726C5" w:rsidP="00436DA8">
      <w:pPr>
        <w:spacing w:after="0" w:line="240" w:lineRule="auto"/>
        <w:jc w:val="both"/>
        <w:rPr>
          <w:color w:val="222222"/>
        </w:rPr>
      </w:pPr>
      <w:r w:rsidRPr="0017529B">
        <w:rPr>
          <w:color w:val="222222"/>
        </w:rPr>
        <w:t>n)</w:t>
      </w:r>
      <w:r w:rsidR="00DC07FC" w:rsidRPr="0017529B">
        <w:rPr>
          <w:color w:val="222222"/>
        </w:rPr>
        <w:t>) Unive</w:t>
      </w:r>
      <w:r w:rsidR="007C4E8D">
        <w:rPr>
          <w:color w:val="222222"/>
        </w:rPr>
        <w:t xml:space="preserve">rsity; </w:t>
      </w:r>
      <w:proofErr w:type="spellStart"/>
      <w:r w:rsidR="007C4E8D">
        <w:rPr>
          <w:color w:val="222222"/>
        </w:rPr>
        <w:t>Beykoz</w:t>
      </w:r>
      <w:proofErr w:type="spellEnd"/>
      <w:r w:rsidR="007C4E8D">
        <w:rPr>
          <w:color w:val="222222"/>
        </w:rPr>
        <w:t xml:space="preserve"> University</w:t>
      </w:r>
      <w:r w:rsidR="00DC07FC" w:rsidRPr="0017529B">
        <w:rPr>
          <w:color w:val="222222"/>
        </w:rPr>
        <w:t>.</w:t>
      </w:r>
    </w:p>
    <w:p w:rsidR="007C4E8D" w:rsidRDefault="007C4E8D" w:rsidP="00436DA8">
      <w:pPr>
        <w:jc w:val="both"/>
        <w:rPr>
          <w:b/>
          <w:color w:val="222222"/>
        </w:rPr>
      </w:pPr>
    </w:p>
    <w:p w:rsidR="00E11E0F" w:rsidRDefault="00E11E0F" w:rsidP="00436DA8">
      <w:pPr>
        <w:jc w:val="both"/>
        <w:rPr>
          <w:b/>
          <w:color w:val="222222"/>
        </w:rPr>
      </w:pPr>
    </w:p>
    <w:p w:rsidR="00C96B9F" w:rsidRPr="0017529B" w:rsidRDefault="00C96B9F" w:rsidP="00436DA8">
      <w:pPr>
        <w:spacing w:after="0" w:line="240" w:lineRule="auto"/>
        <w:jc w:val="both"/>
        <w:rPr>
          <w:b/>
          <w:color w:val="222222"/>
        </w:rPr>
      </w:pPr>
      <w:r w:rsidRPr="001726C5">
        <w:rPr>
          <w:b/>
          <w:color w:val="222222"/>
        </w:rPr>
        <w:t>Definition and Aims of Summer Education</w:t>
      </w:r>
    </w:p>
    <w:p w:rsidR="00732DF2" w:rsidRPr="00400A03" w:rsidRDefault="001726C5" w:rsidP="00436DA8">
      <w:pPr>
        <w:spacing w:after="0" w:line="240" w:lineRule="auto"/>
        <w:jc w:val="both"/>
        <w:rPr>
          <w:color w:val="222222"/>
        </w:rPr>
      </w:pPr>
      <w:r>
        <w:rPr>
          <w:rFonts w:cs="Times New Roman"/>
          <w:b/>
          <w:bCs/>
        </w:rPr>
        <w:t xml:space="preserve">ARTICLE </w:t>
      </w:r>
      <w:r w:rsidRPr="00052DAB">
        <w:rPr>
          <w:rFonts w:cs="Times New Roman"/>
          <w:b/>
          <w:bCs/>
        </w:rPr>
        <w:t xml:space="preserve">5 – (1) </w:t>
      </w:r>
      <w:r w:rsidR="00732DF2" w:rsidRPr="00400A03">
        <w:rPr>
          <w:color w:val="222222"/>
        </w:rPr>
        <w:t>Summer education is an additional education and training program that is implemented in the summer months outside the fall and spring semesters.</w:t>
      </w:r>
    </w:p>
    <w:p w:rsidR="001726C5" w:rsidRPr="00052DAB" w:rsidRDefault="00796C59" w:rsidP="00436DA8">
      <w:pPr>
        <w:spacing w:after="0" w:line="240" w:lineRule="auto"/>
        <w:jc w:val="both"/>
        <w:rPr>
          <w:color w:val="222222"/>
        </w:rPr>
      </w:pPr>
      <w:r w:rsidRPr="00052DAB">
        <w:rPr>
          <w:rFonts w:cs="Times New Roman"/>
          <w:b/>
          <w:bCs/>
        </w:rPr>
        <w:t xml:space="preserve">(2) </w:t>
      </w:r>
      <w:r w:rsidR="001726C5" w:rsidRPr="00052DAB">
        <w:rPr>
          <w:color w:val="222222"/>
        </w:rPr>
        <w:t>The aims of summer education are</w:t>
      </w:r>
      <w:r w:rsidR="00400A03">
        <w:rPr>
          <w:color w:val="222222"/>
        </w:rPr>
        <w:t>:</w:t>
      </w:r>
    </w:p>
    <w:p w:rsidR="00732DF2" w:rsidRPr="00400A03" w:rsidRDefault="00732DF2" w:rsidP="00436DA8">
      <w:pPr>
        <w:pStyle w:val="ListeParagraf"/>
        <w:numPr>
          <w:ilvl w:val="0"/>
          <w:numId w:val="5"/>
        </w:numPr>
        <w:spacing w:after="0" w:line="240" w:lineRule="auto"/>
        <w:jc w:val="both"/>
        <w:rPr>
          <w:color w:val="222222"/>
        </w:rPr>
      </w:pPr>
      <w:r w:rsidRPr="00400A03">
        <w:rPr>
          <w:color w:val="222222"/>
        </w:rPr>
        <w:t xml:space="preserve">To ensure the efficient use of education-training capacity by evaluating the education and training opportunities of </w:t>
      </w:r>
      <w:proofErr w:type="spellStart"/>
      <w:r w:rsidRPr="00400A03">
        <w:rPr>
          <w:color w:val="222222"/>
        </w:rPr>
        <w:t>Beykoz</w:t>
      </w:r>
      <w:proofErr w:type="spellEnd"/>
      <w:r w:rsidRPr="00400A03">
        <w:rPr>
          <w:color w:val="222222"/>
        </w:rPr>
        <w:t xml:space="preserve"> University.</w:t>
      </w:r>
    </w:p>
    <w:p w:rsidR="00C20A41" w:rsidRPr="00400A03" w:rsidRDefault="00732DF2" w:rsidP="00436DA8">
      <w:pPr>
        <w:pStyle w:val="ListeParagraf"/>
        <w:numPr>
          <w:ilvl w:val="0"/>
          <w:numId w:val="5"/>
        </w:numPr>
        <w:spacing w:after="0" w:line="240" w:lineRule="auto"/>
        <w:jc w:val="both"/>
        <w:rPr>
          <w:color w:val="222222"/>
        </w:rPr>
      </w:pPr>
      <w:r w:rsidRPr="00400A03">
        <w:rPr>
          <w:color w:val="222222"/>
        </w:rPr>
        <w:t>To provide opportunities for students who cannot take some courses for various reasons, fail the courses they have taken before, want to increase their grades and do not want to extend the graduation period.</w:t>
      </w:r>
    </w:p>
    <w:p w:rsidR="00796C59" w:rsidRPr="00400A03" w:rsidRDefault="00977B6A" w:rsidP="00436DA8">
      <w:pPr>
        <w:pStyle w:val="ListeParagraf"/>
        <w:numPr>
          <w:ilvl w:val="0"/>
          <w:numId w:val="5"/>
        </w:numPr>
        <w:spacing w:after="0" w:line="240" w:lineRule="auto"/>
        <w:jc w:val="both"/>
        <w:rPr>
          <w:color w:val="222222"/>
        </w:rPr>
      </w:pPr>
      <w:r w:rsidRPr="00400A03">
        <w:rPr>
          <w:color w:val="222222"/>
        </w:rPr>
        <w:t xml:space="preserve">To provide opportunities for students of higher education institutions other than </w:t>
      </w:r>
      <w:proofErr w:type="spellStart"/>
      <w:r w:rsidRPr="00400A03">
        <w:rPr>
          <w:color w:val="222222"/>
        </w:rPr>
        <w:t>Beykoz</w:t>
      </w:r>
      <w:proofErr w:type="spellEnd"/>
      <w:r w:rsidRPr="00400A03">
        <w:rPr>
          <w:color w:val="222222"/>
        </w:rPr>
        <w:t xml:space="preserve"> University and those who are not registered to any higher education institution to benefit from the educational opportunities of </w:t>
      </w:r>
      <w:proofErr w:type="spellStart"/>
      <w:r w:rsidRPr="00400A03">
        <w:rPr>
          <w:color w:val="222222"/>
        </w:rPr>
        <w:t>Beykoz</w:t>
      </w:r>
      <w:proofErr w:type="spellEnd"/>
      <w:r w:rsidRPr="00400A03">
        <w:rPr>
          <w:color w:val="222222"/>
        </w:rPr>
        <w:t xml:space="preserve"> University.</w:t>
      </w:r>
    </w:p>
    <w:p w:rsidR="00436DA8" w:rsidRDefault="00436DA8" w:rsidP="00436DA8">
      <w:pPr>
        <w:jc w:val="both"/>
        <w:rPr>
          <w:b/>
          <w:color w:val="222222"/>
        </w:rPr>
      </w:pPr>
    </w:p>
    <w:p w:rsidR="00953493" w:rsidRPr="00C20A41" w:rsidRDefault="00C20A41" w:rsidP="000467EA">
      <w:pPr>
        <w:spacing w:after="0" w:line="240" w:lineRule="auto"/>
        <w:jc w:val="both"/>
        <w:rPr>
          <w:b/>
          <w:color w:val="222222"/>
        </w:rPr>
      </w:pPr>
      <w:r w:rsidRPr="00C20A41">
        <w:rPr>
          <w:b/>
          <w:color w:val="222222"/>
        </w:rPr>
        <w:t>Duration of Teaching</w:t>
      </w:r>
    </w:p>
    <w:p w:rsidR="00644652" w:rsidRDefault="00C20A41" w:rsidP="000467EA">
      <w:pPr>
        <w:spacing w:after="0" w:line="240" w:lineRule="auto"/>
        <w:jc w:val="both"/>
        <w:rPr>
          <w:b/>
          <w:color w:val="222222"/>
        </w:rPr>
      </w:pPr>
      <w:r>
        <w:rPr>
          <w:rFonts w:cs="Times New Roman"/>
          <w:b/>
          <w:bCs/>
        </w:rPr>
        <w:t xml:space="preserve">ARTICLE </w:t>
      </w:r>
      <w:r w:rsidRPr="00052DAB">
        <w:rPr>
          <w:rFonts w:cs="Times New Roman"/>
          <w:b/>
          <w:bCs/>
        </w:rPr>
        <w:t xml:space="preserve">6 – (1) </w:t>
      </w:r>
      <w:r w:rsidR="00953493" w:rsidRPr="00052DAB">
        <w:rPr>
          <w:color w:val="222222"/>
        </w:rPr>
        <w:t>The duration of teaching is at least 7 weeks, excluding the final exams. The total number of hours for each course opened in summer education is as much as the normal semester.</w:t>
      </w:r>
      <w:r w:rsidR="00953493" w:rsidRPr="00052DAB">
        <w:br/>
      </w:r>
      <w:r w:rsidR="00C40749" w:rsidRPr="00052DAB">
        <w:rPr>
          <w:rFonts w:cs="Times New Roman"/>
          <w:b/>
          <w:bCs/>
        </w:rPr>
        <w:t xml:space="preserve">(2) </w:t>
      </w:r>
      <w:r w:rsidR="00953493" w:rsidRPr="00644652">
        <w:rPr>
          <w:color w:val="222222"/>
        </w:rPr>
        <w:t>Summer education is not counted towards the maximum duration of education.</w:t>
      </w:r>
      <w:r w:rsidR="00953493" w:rsidRPr="00052DAB">
        <w:br/>
      </w:r>
    </w:p>
    <w:p w:rsidR="00953493" w:rsidRPr="00644652" w:rsidRDefault="00C40749" w:rsidP="000467EA">
      <w:pPr>
        <w:spacing w:after="0" w:line="240" w:lineRule="auto"/>
        <w:jc w:val="both"/>
        <w:rPr>
          <w:b/>
          <w:color w:val="222222"/>
        </w:rPr>
      </w:pPr>
      <w:r w:rsidRPr="00644652">
        <w:rPr>
          <w:b/>
          <w:color w:val="222222"/>
        </w:rPr>
        <w:t xml:space="preserve">Matters </w:t>
      </w:r>
      <w:proofErr w:type="gramStart"/>
      <w:r w:rsidRPr="00644652">
        <w:rPr>
          <w:b/>
          <w:color w:val="222222"/>
        </w:rPr>
        <w:t xml:space="preserve">concerning </w:t>
      </w:r>
      <w:r w:rsidR="00B06239" w:rsidRPr="00644652">
        <w:rPr>
          <w:b/>
          <w:color w:val="222222"/>
        </w:rPr>
        <w:t xml:space="preserve"> </w:t>
      </w:r>
      <w:r w:rsidRPr="00644652">
        <w:rPr>
          <w:b/>
          <w:color w:val="222222"/>
        </w:rPr>
        <w:t>the</w:t>
      </w:r>
      <w:proofErr w:type="gramEnd"/>
      <w:r w:rsidRPr="00644652">
        <w:rPr>
          <w:b/>
          <w:color w:val="222222"/>
        </w:rPr>
        <w:t xml:space="preserve"> O</w:t>
      </w:r>
      <w:r w:rsidR="00953493" w:rsidRPr="00644652">
        <w:rPr>
          <w:b/>
          <w:color w:val="222222"/>
        </w:rPr>
        <w:t xml:space="preserve">pening </w:t>
      </w:r>
      <w:r w:rsidRPr="00644652">
        <w:rPr>
          <w:b/>
          <w:color w:val="222222"/>
        </w:rPr>
        <w:t>of the C</w:t>
      </w:r>
      <w:r w:rsidR="00953493" w:rsidRPr="00644652">
        <w:rPr>
          <w:b/>
          <w:color w:val="222222"/>
        </w:rPr>
        <w:t>ourses and Course Registrations</w:t>
      </w:r>
    </w:p>
    <w:p w:rsidR="00953493" w:rsidRPr="008B7CE9" w:rsidRDefault="00B06239" w:rsidP="000467EA">
      <w:pPr>
        <w:spacing w:after="0" w:line="240" w:lineRule="auto"/>
        <w:jc w:val="both"/>
        <w:rPr>
          <w:color w:val="222222"/>
        </w:rPr>
      </w:pPr>
      <w:r w:rsidRPr="00B06239">
        <w:rPr>
          <w:rFonts w:cs="Times New Roman"/>
          <w:b/>
          <w:bCs/>
        </w:rPr>
        <w:t xml:space="preserve">ARTICLE 7 – (1) </w:t>
      </w:r>
      <w:r w:rsidR="00953493" w:rsidRPr="008B7CE9">
        <w:rPr>
          <w:color w:val="222222"/>
        </w:rPr>
        <w:t xml:space="preserve">Opening courses in summer education, registration to courses, curriculum, exams and other issues, </w:t>
      </w:r>
      <w:r w:rsidRPr="008B7CE9">
        <w:rPr>
          <w:color w:val="222222"/>
        </w:rPr>
        <w:t xml:space="preserve">are executed according to </w:t>
      </w:r>
      <w:proofErr w:type="spellStart"/>
      <w:r w:rsidR="00953493" w:rsidRPr="008B7CE9">
        <w:rPr>
          <w:color w:val="222222"/>
        </w:rPr>
        <w:t>Beykoz</w:t>
      </w:r>
      <w:proofErr w:type="spellEnd"/>
      <w:r w:rsidR="00953493" w:rsidRPr="008B7CE9">
        <w:rPr>
          <w:color w:val="222222"/>
        </w:rPr>
        <w:t xml:space="preserve"> University Undergraduate-Associate Education-Teaching Regulation, </w:t>
      </w:r>
      <w:proofErr w:type="spellStart"/>
      <w:r w:rsidR="00953493" w:rsidRPr="008B7CE9">
        <w:rPr>
          <w:color w:val="222222"/>
        </w:rPr>
        <w:t>Beykoz</w:t>
      </w:r>
      <w:proofErr w:type="spellEnd"/>
      <w:r w:rsidR="00953493" w:rsidRPr="008B7CE9">
        <w:rPr>
          <w:color w:val="222222"/>
        </w:rPr>
        <w:t xml:space="preserve"> University English Preparatory Program Education-Teaching and Exam Directive, </w:t>
      </w:r>
      <w:proofErr w:type="spellStart"/>
      <w:r w:rsidR="00953493" w:rsidRPr="008B7CE9">
        <w:rPr>
          <w:color w:val="222222"/>
        </w:rPr>
        <w:t>Beykoz</w:t>
      </w:r>
      <w:proofErr w:type="spellEnd"/>
      <w:r w:rsidR="00953493" w:rsidRPr="008B7CE9">
        <w:rPr>
          <w:color w:val="222222"/>
        </w:rPr>
        <w:t xml:space="preserve"> University Postgraduate Education-Educatio</w:t>
      </w:r>
      <w:r w:rsidRPr="008B7CE9">
        <w:rPr>
          <w:color w:val="222222"/>
        </w:rPr>
        <w:t xml:space="preserve">n Regulation provisions, </w:t>
      </w:r>
      <w:proofErr w:type="spellStart"/>
      <w:r w:rsidRPr="008B7CE9">
        <w:rPr>
          <w:color w:val="222222"/>
        </w:rPr>
        <w:t>Beykoz</w:t>
      </w:r>
      <w:proofErr w:type="spellEnd"/>
      <w:r w:rsidRPr="008B7CE9">
        <w:rPr>
          <w:color w:val="222222"/>
        </w:rPr>
        <w:t xml:space="preserve"> University’s </w:t>
      </w:r>
      <w:r w:rsidR="00953493" w:rsidRPr="008B7CE9">
        <w:rPr>
          <w:color w:val="222222"/>
        </w:rPr>
        <w:t>relevant regulations and directives, Senate and University Administrative Board decisions and Academic Calendar.</w:t>
      </w:r>
    </w:p>
    <w:p w:rsidR="00DD0F7A" w:rsidRPr="00EE7547" w:rsidRDefault="0052701E" w:rsidP="000467EA">
      <w:pPr>
        <w:spacing w:after="0" w:line="240" w:lineRule="auto"/>
        <w:jc w:val="both"/>
        <w:rPr>
          <w:color w:val="222222"/>
        </w:rPr>
      </w:pPr>
      <w:r w:rsidRPr="00052DAB">
        <w:rPr>
          <w:rFonts w:cs="Times New Roman"/>
          <w:b/>
          <w:bCs/>
        </w:rPr>
        <w:t xml:space="preserve"> (2) </w:t>
      </w:r>
      <w:r w:rsidR="00DD0F7A" w:rsidRPr="00052DAB">
        <w:rPr>
          <w:color w:val="222222"/>
        </w:rPr>
        <w:t xml:space="preserve">Depending on the fall and spring semesters syllabus, the courses to be opened in summer education are determined by the recommendation of the relevant boards of directors and the decision of the University Board of Directors </w:t>
      </w:r>
      <w:r>
        <w:rPr>
          <w:color w:val="222222"/>
        </w:rPr>
        <w:t>based on</w:t>
      </w:r>
      <w:r w:rsidR="00DD0F7A" w:rsidRPr="00052DAB">
        <w:rPr>
          <w:color w:val="222222"/>
        </w:rPr>
        <w:t xml:space="preserve"> the applications of the students.</w:t>
      </w:r>
    </w:p>
    <w:p w:rsidR="001D2B28" w:rsidRPr="00052DAB" w:rsidRDefault="00EE7547" w:rsidP="000467EA">
      <w:pPr>
        <w:spacing w:after="0" w:line="240" w:lineRule="auto"/>
        <w:jc w:val="both"/>
        <w:rPr>
          <w:color w:val="222222"/>
        </w:rPr>
      </w:pPr>
      <w:r w:rsidRPr="00052DAB">
        <w:rPr>
          <w:rFonts w:cs="Times New Roman"/>
          <w:b/>
          <w:bCs/>
        </w:rPr>
        <w:t xml:space="preserve"> (3) </w:t>
      </w:r>
      <w:r w:rsidR="001D2B28" w:rsidRPr="00052DAB">
        <w:rPr>
          <w:color w:val="222222"/>
        </w:rPr>
        <w:t>The minimum number of students to be considered in determining the courses to be opened in summer education is 8. This number can be reduced on a lesson basis by taking the courses to be opened in the summer education and the students who can graduate into consideration, by the recommendation of the relevant Administrative Boards and the decision of the University Administrative Board.</w:t>
      </w:r>
    </w:p>
    <w:p w:rsidR="00815CC6" w:rsidRPr="001B319F" w:rsidRDefault="00EE7547" w:rsidP="000467EA">
      <w:pPr>
        <w:spacing w:after="0" w:line="240" w:lineRule="auto"/>
        <w:jc w:val="both"/>
        <w:rPr>
          <w:color w:val="222222"/>
        </w:rPr>
      </w:pPr>
      <w:r w:rsidRPr="00052DAB">
        <w:rPr>
          <w:rFonts w:cs="Times New Roman"/>
          <w:b/>
          <w:bCs/>
        </w:rPr>
        <w:t xml:space="preserve"> (4) </w:t>
      </w:r>
      <w:r w:rsidR="001D2B28" w:rsidRPr="00052DAB">
        <w:rPr>
          <w:color w:val="222222"/>
        </w:rPr>
        <w:t>Students can take a maximum of 15 ECTS lessons in summer education. Upon graduation, students can take up to 6 ECTS additional courses upon the recommendation of the relevant Executive Boards and the decision of the University Administrative Board. If Workplace Practice Training will be held during the summer school term, the student prefers either the courses or the Workplace Practice Training. However, if the courses to be taken in summer education are given by distance education, they can complete the Workplace Training in the same period with 15 ECTS lessons</w:t>
      </w:r>
      <w:r>
        <w:rPr>
          <w:color w:val="222222"/>
        </w:rPr>
        <w:t>.</w:t>
      </w:r>
      <w:r w:rsidRPr="001B3D78">
        <w:rPr>
          <w:color w:val="222222"/>
          <w:vertAlign w:val="superscript"/>
        </w:rPr>
        <w:t>1</w:t>
      </w:r>
      <w:r w:rsidR="00815CC6" w:rsidRPr="001B319F">
        <w:rPr>
          <w:color w:val="222222"/>
        </w:rPr>
        <w:br/>
      </w:r>
      <w:r w:rsidRPr="001B319F">
        <w:rPr>
          <w:b/>
          <w:color w:val="222222"/>
        </w:rPr>
        <w:t>(5)</w:t>
      </w:r>
      <w:r w:rsidRPr="001B319F">
        <w:rPr>
          <w:color w:val="222222"/>
        </w:rPr>
        <w:t xml:space="preserve"> </w:t>
      </w:r>
      <w:r w:rsidR="00815CC6" w:rsidRPr="001B319F">
        <w:rPr>
          <w:color w:val="222222"/>
        </w:rPr>
        <w:t>Students studying in the formal education program can take the distance education courses opened in summer education with the approval of YÖK, provided that they pay the formal education fees, within the conditions specified in the fourth paragraph.</w:t>
      </w:r>
    </w:p>
    <w:p w:rsidR="00815CC6" w:rsidRPr="00052DAB" w:rsidRDefault="00EE7547" w:rsidP="000467EA">
      <w:pPr>
        <w:spacing w:after="0" w:line="240" w:lineRule="auto"/>
        <w:jc w:val="both"/>
        <w:rPr>
          <w:color w:val="222222"/>
        </w:rPr>
      </w:pPr>
      <w:r w:rsidRPr="00052DAB">
        <w:rPr>
          <w:rFonts w:cs="Times New Roman"/>
          <w:b/>
          <w:bCs/>
        </w:rPr>
        <w:t xml:space="preserve">(6) </w:t>
      </w:r>
      <w:r w:rsidR="00815CC6" w:rsidRPr="00052DAB">
        <w:rPr>
          <w:color w:val="222222"/>
        </w:rPr>
        <w:t>Distance education students can take the formal education courses opened in summer education within the conditions specified in the fourth paragraph, provided that they pay the formal education fees.</w:t>
      </w:r>
    </w:p>
    <w:p w:rsidR="003940B6" w:rsidRDefault="00EE7547" w:rsidP="000467EA">
      <w:pPr>
        <w:spacing w:after="0" w:line="240" w:lineRule="auto"/>
        <w:jc w:val="both"/>
        <w:rPr>
          <w:color w:val="222222"/>
        </w:rPr>
      </w:pPr>
      <w:r w:rsidRPr="00052DAB">
        <w:rPr>
          <w:rFonts w:cs="Times New Roman"/>
          <w:b/>
          <w:bCs/>
        </w:rPr>
        <w:t xml:space="preserve"> (7) </w:t>
      </w:r>
      <w:r w:rsidR="003940B6" w:rsidRPr="00052DAB">
        <w:rPr>
          <w:color w:val="222222"/>
        </w:rPr>
        <w:t xml:space="preserve">Students who are enrolled in the courses that cannot be opened because the </w:t>
      </w:r>
      <w:r>
        <w:rPr>
          <w:color w:val="222222"/>
        </w:rPr>
        <w:t xml:space="preserve">required </w:t>
      </w:r>
      <w:r w:rsidR="003940B6" w:rsidRPr="00052DAB">
        <w:rPr>
          <w:color w:val="222222"/>
        </w:rPr>
        <w:t>number of students cannot be reached can register for the courses that are not opened, provided that they do not exceed the total credits of the courses they enrolled in.</w:t>
      </w:r>
      <w:r w:rsidR="00E11E0F">
        <w:rPr>
          <w:color w:val="222222"/>
        </w:rPr>
        <w:t xml:space="preserve"> </w:t>
      </w:r>
    </w:p>
    <w:p w:rsidR="001B3D78" w:rsidRPr="000467EA" w:rsidRDefault="001B3D78" w:rsidP="001B3D78">
      <w:pPr>
        <w:spacing w:after="0" w:line="240" w:lineRule="auto"/>
        <w:jc w:val="both"/>
        <w:rPr>
          <w:color w:val="222222"/>
          <w:sz w:val="18"/>
        </w:rPr>
      </w:pPr>
      <w:r w:rsidRPr="001B3D78">
        <w:rPr>
          <w:color w:val="222222"/>
          <w:vertAlign w:val="superscript"/>
        </w:rPr>
        <w:t>1</w:t>
      </w:r>
      <w:r w:rsidRPr="000467EA">
        <w:rPr>
          <w:color w:val="222222"/>
          <w:sz w:val="18"/>
        </w:rPr>
        <w:t xml:space="preserve"> Different Article: Senate, 23.05.2019 / 4</w:t>
      </w:r>
      <w:r w:rsidRPr="000467EA">
        <w:rPr>
          <w:rFonts w:cs="Times New Roman"/>
          <w:sz w:val="18"/>
        </w:rPr>
        <w:t xml:space="preserve">. </w:t>
      </w:r>
    </w:p>
    <w:p w:rsidR="001B3D78" w:rsidRPr="00052DAB" w:rsidRDefault="001B3D78" w:rsidP="000467EA">
      <w:pPr>
        <w:spacing w:after="0" w:line="240" w:lineRule="auto"/>
        <w:jc w:val="both"/>
        <w:rPr>
          <w:color w:val="222222"/>
        </w:rPr>
      </w:pPr>
    </w:p>
    <w:p w:rsidR="00EE7547" w:rsidRPr="00AD3118" w:rsidRDefault="00EE7547" w:rsidP="000467EA">
      <w:pPr>
        <w:spacing w:after="0" w:line="240" w:lineRule="auto"/>
        <w:jc w:val="both"/>
        <w:rPr>
          <w:color w:val="222222"/>
        </w:rPr>
      </w:pPr>
      <w:r w:rsidRPr="00052DAB">
        <w:rPr>
          <w:rFonts w:cs="Times New Roman"/>
          <w:b/>
          <w:bCs/>
        </w:rPr>
        <w:t xml:space="preserve"> (8) </w:t>
      </w:r>
      <w:r w:rsidR="00F44F47" w:rsidRPr="00052DAB">
        <w:rPr>
          <w:color w:val="222222"/>
        </w:rPr>
        <w:t>Students who successfully complete the compulsory English Preparatory Program in the Department of Foreign Languages ​​and students who participate in the optional English Preparatory Program can register for the non-pre-requisite courses of the first year of the education program in which they are enrolled.</w:t>
      </w:r>
    </w:p>
    <w:p w:rsidR="00F44F47" w:rsidRPr="00AD3118" w:rsidRDefault="00EE7547" w:rsidP="000467EA">
      <w:pPr>
        <w:spacing w:after="0" w:line="240" w:lineRule="auto"/>
        <w:jc w:val="both"/>
        <w:rPr>
          <w:color w:val="222222"/>
        </w:rPr>
      </w:pPr>
      <w:r w:rsidRPr="00AD3118">
        <w:rPr>
          <w:b/>
          <w:color w:val="222222"/>
        </w:rPr>
        <w:t>(9)</w:t>
      </w:r>
      <w:r w:rsidRPr="00AD3118">
        <w:rPr>
          <w:color w:val="222222"/>
        </w:rPr>
        <w:t xml:space="preserve"> </w:t>
      </w:r>
      <w:r w:rsidR="000E5E43" w:rsidRPr="00AD3118">
        <w:rPr>
          <w:color w:val="222222"/>
        </w:rPr>
        <w:t xml:space="preserve">Students who will take courses </w:t>
      </w:r>
      <w:r w:rsidRPr="00AD3118">
        <w:rPr>
          <w:color w:val="222222"/>
        </w:rPr>
        <w:t>in</w:t>
      </w:r>
      <w:r w:rsidR="000E5E43" w:rsidRPr="00AD3118">
        <w:rPr>
          <w:color w:val="222222"/>
        </w:rPr>
        <w:t xml:space="preserve"> summer education complete their registration by choosing courses from the Education Information System (EÖBS) and paying to the Financial Affairs Directorate.</w:t>
      </w:r>
    </w:p>
    <w:p w:rsidR="00081393" w:rsidRPr="00AD3118" w:rsidRDefault="00EE7547" w:rsidP="000467EA">
      <w:pPr>
        <w:spacing w:after="0" w:line="240" w:lineRule="auto"/>
        <w:jc w:val="both"/>
        <w:rPr>
          <w:color w:val="222222"/>
        </w:rPr>
      </w:pPr>
      <w:r w:rsidRPr="00AD3118">
        <w:rPr>
          <w:b/>
          <w:color w:val="222222"/>
        </w:rPr>
        <w:t xml:space="preserve"> (10)</w:t>
      </w:r>
      <w:r w:rsidRPr="00AD3118">
        <w:rPr>
          <w:color w:val="222222"/>
        </w:rPr>
        <w:t xml:space="preserve"> </w:t>
      </w:r>
      <w:r w:rsidR="00081393" w:rsidRPr="00AD3118">
        <w:rPr>
          <w:color w:val="222222"/>
        </w:rPr>
        <w:t xml:space="preserve">Students who have previously been dismissed for any reason cannot </w:t>
      </w:r>
      <w:proofErr w:type="spellStart"/>
      <w:r w:rsidR="00081393" w:rsidRPr="00AD3118">
        <w:rPr>
          <w:color w:val="222222"/>
        </w:rPr>
        <w:t>enroll</w:t>
      </w:r>
      <w:proofErr w:type="spellEnd"/>
      <w:r w:rsidR="00081393" w:rsidRPr="00AD3118">
        <w:rPr>
          <w:color w:val="222222"/>
        </w:rPr>
        <w:t xml:space="preserve"> in summer education.</w:t>
      </w:r>
    </w:p>
    <w:p w:rsidR="00081393" w:rsidRPr="000467EA" w:rsidRDefault="00EE7547" w:rsidP="000467EA">
      <w:pPr>
        <w:spacing w:after="0" w:line="240" w:lineRule="auto"/>
        <w:jc w:val="both"/>
        <w:rPr>
          <w:color w:val="222222"/>
        </w:rPr>
      </w:pPr>
      <w:r w:rsidRPr="00052DAB">
        <w:rPr>
          <w:rFonts w:cs="Times New Roman"/>
          <w:b/>
          <w:bCs/>
        </w:rPr>
        <w:t xml:space="preserve"> (11</w:t>
      </w:r>
      <w:r w:rsidRPr="00052DAB">
        <w:rPr>
          <w:rFonts w:cs="Times New Roman"/>
        </w:rPr>
        <w:t xml:space="preserve">) </w:t>
      </w:r>
      <w:r w:rsidR="00081393" w:rsidRPr="00052DAB">
        <w:rPr>
          <w:color w:val="222222"/>
        </w:rPr>
        <w:t>In summer education, courses cannot be added or dropped except for the seventh paragraph.</w:t>
      </w:r>
    </w:p>
    <w:p w:rsidR="00081393" w:rsidRPr="00052DAB" w:rsidRDefault="00EE7547" w:rsidP="000467EA">
      <w:pPr>
        <w:spacing w:after="0" w:line="240" w:lineRule="auto"/>
        <w:jc w:val="both"/>
        <w:rPr>
          <w:color w:val="222222"/>
        </w:rPr>
      </w:pPr>
      <w:r w:rsidRPr="00052DAB">
        <w:rPr>
          <w:rFonts w:cs="Times New Roman"/>
          <w:b/>
          <w:bCs/>
        </w:rPr>
        <w:t xml:space="preserve"> (12</w:t>
      </w:r>
      <w:r w:rsidRPr="00052DAB">
        <w:rPr>
          <w:rFonts w:cs="Times New Roman"/>
        </w:rPr>
        <w:t xml:space="preserve">) </w:t>
      </w:r>
      <w:r w:rsidR="00081393" w:rsidRPr="00052DAB">
        <w:rPr>
          <w:color w:val="222222"/>
        </w:rPr>
        <w:t>Withdrawal is not possible in summer education.</w:t>
      </w:r>
    </w:p>
    <w:p w:rsidR="00081393" w:rsidRPr="00052DAB" w:rsidRDefault="00081393" w:rsidP="00436DA8">
      <w:pPr>
        <w:jc w:val="both"/>
      </w:pPr>
    </w:p>
    <w:p w:rsidR="00296244" w:rsidRPr="00F21853" w:rsidRDefault="00296244" w:rsidP="000467EA">
      <w:pPr>
        <w:spacing w:after="0" w:line="240" w:lineRule="auto"/>
        <w:jc w:val="both"/>
        <w:rPr>
          <w:b/>
          <w:color w:val="222222"/>
        </w:rPr>
      </w:pPr>
      <w:r w:rsidRPr="00EE7547">
        <w:rPr>
          <w:b/>
          <w:color w:val="222222"/>
        </w:rPr>
        <w:t>English Preparatory Program Summer Education</w:t>
      </w:r>
    </w:p>
    <w:p w:rsidR="00296244" w:rsidRPr="00502B8F" w:rsidRDefault="00502B8F" w:rsidP="000467EA">
      <w:pPr>
        <w:spacing w:after="0" w:line="240" w:lineRule="auto"/>
        <w:jc w:val="both"/>
      </w:pPr>
      <w:r>
        <w:rPr>
          <w:rFonts w:cs="Times New Roman"/>
          <w:b/>
          <w:bCs/>
        </w:rPr>
        <w:t xml:space="preserve">ARTICLE </w:t>
      </w:r>
      <w:r w:rsidRPr="00052DAB">
        <w:rPr>
          <w:rFonts w:cs="Times New Roman"/>
          <w:b/>
          <w:bCs/>
        </w:rPr>
        <w:t xml:space="preserve">8 – (1) </w:t>
      </w:r>
      <w:r w:rsidR="00296244" w:rsidRPr="00502B8F">
        <w:t>Students of the English preparatory program can register for summer education if they wish. In order for summer education to be opened, at least 15 students must be registered for summer education. Summer education lasts approximately 7 weeks in the English Preparatory Program.</w:t>
      </w:r>
    </w:p>
    <w:p w:rsidR="001C336A" w:rsidRPr="00052DAB" w:rsidRDefault="001C336A" w:rsidP="000467EA">
      <w:pPr>
        <w:spacing w:after="0" w:line="240" w:lineRule="auto"/>
        <w:jc w:val="both"/>
      </w:pPr>
      <w:r w:rsidRPr="00052DAB">
        <w:t>A BEUPT exam is administered to students who attend summer education at the end of the summer school. Students who have remained in this exam due to absenteeism and who have lost their right to take the BEUPT exam in June will also be able to enter. This exam does not prevent the right to enter BEUPT, which is held regularly at the beginning of each academic year.</w:t>
      </w:r>
    </w:p>
    <w:p w:rsidR="001C336A" w:rsidRPr="00052DAB" w:rsidRDefault="001C336A" w:rsidP="000467EA">
      <w:pPr>
        <w:spacing w:after="0" w:line="240" w:lineRule="auto"/>
        <w:jc w:val="both"/>
      </w:pPr>
      <w:r w:rsidRPr="00052DAB">
        <w:br/>
      </w:r>
      <w:r w:rsidR="00206BC5" w:rsidRPr="00206BC5">
        <w:rPr>
          <w:b/>
        </w:rPr>
        <w:t>(2)</w:t>
      </w:r>
      <w:r w:rsidR="00206BC5" w:rsidRPr="00206BC5">
        <w:t xml:space="preserve"> </w:t>
      </w:r>
      <w:r w:rsidRPr="00206BC5">
        <w:t>Other issues related to the English preparatory program in summer education are carried out in line with the provisions of the "English Preparatory Program Education and Exam Directive".</w:t>
      </w:r>
    </w:p>
    <w:p w:rsidR="00F33362" w:rsidRPr="000467EA" w:rsidRDefault="003A1488" w:rsidP="000467EA">
      <w:pPr>
        <w:spacing w:line="240" w:lineRule="auto"/>
        <w:jc w:val="both"/>
        <w:rPr>
          <w:b/>
        </w:rPr>
      </w:pPr>
      <w:r w:rsidRPr="00052DAB">
        <w:br/>
      </w:r>
      <w:r w:rsidRPr="00206BC5">
        <w:rPr>
          <w:b/>
        </w:rPr>
        <w:t xml:space="preserve">Students Who Will Take Summer Education Lessons </w:t>
      </w:r>
      <w:proofErr w:type="gramStart"/>
      <w:r w:rsidRPr="00206BC5">
        <w:rPr>
          <w:b/>
        </w:rPr>
        <w:t>From</w:t>
      </w:r>
      <w:proofErr w:type="gramEnd"/>
      <w:r w:rsidRPr="00206BC5">
        <w:rPr>
          <w:b/>
        </w:rPr>
        <w:t xml:space="preserve"> Other Higher Education Institutions</w:t>
      </w:r>
      <w:r w:rsidR="00F33362" w:rsidRPr="00052DAB">
        <w:br/>
      </w:r>
      <w:r w:rsidR="00206BC5" w:rsidRPr="00206BC5">
        <w:rPr>
          <w:b/>
        </w:rPr>
        <w:t>ARTICLE 9 – (1)</w:t>
      </w:r>
      <w:r w:rsidR="00206BC5" w:rsidRPr="00206BC5">
        <w:t xml:space="preserve"> </w:t>
      </w:r>
      <w:r w:rsidR="00F33362" w:rsidRPr="00206BC5">
        <w:t>Students can take courses from other higher education institutions upon the decision of the academic unit boards regarding the course they want to take in case the course they apply for in summer education is the same or more in ECTS credits, the course contents are equivalent and do not exceed the maximum credits.</w:t>
      </w:r>
    </w:p>
    <w:p w:rsidR="00EE4C6A" w:rsidRPr="00206BC5" w:rsidRDefault="00EE4C6A" w:rsidP="000467EA">
      <w:pPr>
        <w:spacing w:after="0" w:line="240" w:lineRule="auto"/>
        <w:jc w:val="both"/>
        <w:rPr>
          <w:b/>
          <w:color w:val="222222"/>
        </w:rPr>
      </w:pPr>
      <w:r w:rsidRPr="00206BC5">
        <w:rPr>
          <w:b/>
          <w:color w:val="222222"/>
        </w:rPr>
        <w:t xml:space="preserve">Students Enrolling in </w:t>
      </w:r>
      <w:proofErr w:type="spellStart"/>
      <w:r w:rsidRPr="00206BC5">
        <w:rPr>
          <w:b/>
          <w:color w:val="222222"/>
        </w:rPr>
        <w:t>Beykoz</w:t>
      </w:r>
      <w:proofErr w:type="spellEnd"/>
      <w:r w:rsidRPr="00206BC5">
        <w:rPr>
          <w:b/>
          <w:color w:val="222222"/>
        </w:rPr>
        <w:t xml:space="preserve"> University Summer Education </w:t>
      </w:r>
      <w:proofErr w:type="gramStart"/>
      <w:r w:rsidRPr="00206BC5">
        <w:rPr>
          <w:b/>
          <w:color w:val="222222"/>
        </w:rPr>
        <w:t>From</w:t>
      </w:r>
      <w:proofErr w:type="gramEnd"/>
      <w:r w:rsidRPr="00206BC5">
        <w:rPr>
          <w:b/>
          <w:color w:val="222222"/>
        </w:rPr>
        <w:t xml:space="preserve"> Other Higher Education Institutions</w:t>
      </w:r>
    </w:p>
    <w:p w:rsidR="00B10B04" w:rsidRPr="00206BC5" w:rsidRDefault="00206BC5" w:rsidP="000467EA">
      <w:pPr>
        <w:spacing w:after="0" w:line="240" w:lineRule="auto"/>
        <w:jc w:val="both"/>
      </w:pPr>
      <w:r>
        <w:rPr>
          <w:rFonts w:cs="Times New Roman"/>
          <w:b/>
          <w:bCs/>
        </w:rPr>
        <w:t xml:space="preserve">ARTICLE </w:t>
      </w:r>
      <w:r w:rsidRPr="00052DAB">
        <w:rPr>
          <w:rFonts w:cs="Times New Roman"/>
          <w:b/>
          <w:bCs/>
        </w:rPr>
        <w:t xml:space="preserve">10 – (1) </w:t>
      </w:r>
      <w:r w:rsidR="00B10B04" w:rsidRPr="00206BC5">
        <w:t>Students of other higher education institutions can take courses in summer education as a special student provided that they document their student status and fulfill their financial obligations. These students are given a document showing the name, credits and success grade of the courses they take in summer education.</w:t>
      </w:r>
    </w:p>
    <w:p w:rsidR="00B10B04" w:rsidRPr="00052DAB" w:rsidRDefault="00B10B04" w:rsidP="00436DA8">
      <w:pPr>
        <w:jc w:val="both"/>
      </w:pPr>
    </w:p>
    <w:p w:rsidR="00005103" w:rsidRPr="00BA37D7" w:rsidRDefault="00005103" w:rsidP="000467EA">
      <w:pPr>
        <w:spacing w:after="0" w:line="240" w:lineRule="auto"/>
        <w:jc w:val="both"/>
        <w:rPr>
          <w:rFonts w:cs="Times New Roman"/>
          <w:b/>
          <w:bCs/>
        </w:rPr>
      </w:pPr>
      <w:r w:rsidRPr="00BA37D7">
        <w:rPr>
          <w:rFonts w:cs="Times New Roman"/>
          <w:b/>
          <w:bCs/>
        </w:rPr>
        <w:t>Students Not Enrolled in Any Higher Education Institution Taking Courses in Summer Education</w:t>
      </w:r>
    </w:p>
    <w:p w:rsidR="00005103" w:rsidRPr="00BA37D7" w:rsidRDefault="00BA37D7" w:rsidP="000467EA">
      <w:pPr>
        <w:spacing w:after="0" w:line="240" w:lineRule="auto"/>
        <w:jc w:val="both"/>
        <w:rPr>
          <w:rFonts w:cs="Times New Roman"/>
        </w:rPr>
      </w:pPr>
      <w:r>
        <w:rPr>
          <w:rFonts w:cs="Times New Roman"/>
          <w:b/>
          <w:bCs/>
        </w:rPr>
        <w:t xml:space="preserve">ARTICLE </w:t>
      </w:r>
      <w:r w:rsidRPr="00052DAB">
        <w:rPr>
          <w:rFonts w:cs="Times New Roman"/>
          <w:b/>
          <w:bCs/>
        </w:rPr>
        <w:t xml:space="preserve">11 – (1) </w:t>
      </w:r>
      <w:r w:rsidR="00005103" w:rsidRPr="00BA37D7">
        <w:rPr>
          <w:rFonts w:cs="Times New Roman"/>
        </w:rPr>
        <w:t>People who are at least high school senior students and are not registered in a higher education institution can take courses in summer education as a Guest Student. These students are given a document showing the name, credits and grade of the courses taken in their teaching.</w:t>
      </w:r>
    </w:p>
    <w:p w:rsidR="000467EA" w:rsidRDefault="000467EA" w:rsidP="00436DA8">
      <w:pPr>
        <w:jc w:val="both"/>
        <w:rPr>
          <w:rFonts w:cs="Times New Roman"/>
          <w:b/>
          <w:bCs/>
        </w:rPr>
      </w:pPr>
    </w:p>
    <w:p w:rsidR="00005103" w:rsidRPr="00BA37D7" w:rsidRDefault="00005103" w:rsidP="000467EA">
      <w:pPr>
        <w:spacing w:after="0" w:line="240" w:lineRule="auto"/>
        <w:jc w:val="both"/>
        <w:rPr>
          <w:rFonts w:cs="Times New Roman"/>
          <w:b/>
          <w:bCs/>
        </w:rPr>
      </w:pPr>
      <w:r w:rsidRPr="00BA37D7">
        <w:rPr>
          <w:rFonts w:cs="Times New Roman"/>
          <w:b/>
          <w:bCs/>
        </w:rPr>
        <w:t>Attendance</w:t>
      </w:r>
    </w:p>
    <w:p w:rsidR="00AE325B" w:rsidRPr="00052DAB" w:rsidRDefault="001726C5" w:rsidP="000467EA">
      <w:pPr>
        <w:spacing w:after="0" w:line="240" w:lineRule="auto"/>
        <w:jc w:val="both"/>
      </w:pPr>
      <w:r w:rsidRPr="00AE325B">
        <w:rPr>
          <w:rFonts w:cs="Times New Roman"/>
          <w:b/>
        </w:rPr>
        <w:t xml:space="preserve">ARTICLE </w:t>
      </w:r>
      <w:r w:rsidR="00005103" w:rsidRPr="00AE325B">
        <w:rPr>
          <w:rFonts w:cs="Times New Roman"/>
          <w:b/>
        </w:rPr>
        <w:t xml:space="preserve"> 12 - (1)</w:t>
      </w:r>
      <w:r w:rsidR="00005103" w:rsidRPr="00AE325B">
        <w:rPr>
          <w:rFonts w:cs="Times New Roman"/>
        </w:rPr>
        <w:t xml:space="preserve"> The provisions of </w:t>
      </w:r>
      <w:proofErr w:type="spellStart"/>
      <w:r w:rsidR="00005103" w:rsidRPr="00AE325B">
        <w:rPr>
          <w:rFonts w:cs="Times New Roman"/>
        </w:rPr>
        <w:t>Beykoz</w:t>
      </w:r>
      <w:proofErr w:type="spellEnd"/>
      <w:r w:rsidR="00005103" w:rsidRPr="00AE325B">
        <w:rPr>
          <w:rFonts w:cs="Times New Roman"/>
        </w:rPr>
        <w:t xml:space="preserve"> University Undergraduate and Associate Degree Education and Training Regulations and </w:t>
      </w:r>
      <w:proofErr w:type="spellStart"/>
      <w:r w:rsidR="00005103" w:rsidRPr="00AE325B">
        <w:rPr>
          <w:rFonts w:cs="Times New Roman"/>
        </w:rPr>
        <w:t>Beykoz</w:t>
      </w:r>
      <w:proofErr w:type="spellEnd"/>
      <w:r w:rsidR="00005103" w:rsidRPr="00AE325B">
        <w:rPr>
          <w:rFonts w:cs="Times New Roman"/>
        </w:rPr>
        <w:t xml:space="preserve"> University Postgraduate Education and Regulations are valid for all students enrolled in summer education to attend classes and to take the midterm exams and final exams.</w:t>
      </w:r>
      <w:r w:rsidR="00AE325B">
        <w:rPr>
          <w:rFonts w:cs="Times New Roman"/>
        </w:rPr>
        <w:t xml:space="preserve"> </w:t>
      </w:r>
      <w:r w:rsidR="00AE325B" w:rsidRPr="00052DAB">
        <w:rPr>
          <w:rFonts w:cs="Times New Roman"/>
        </w:rPr>
        <w:t xml:space="preserve"> </w:t>
      </w:r>
    </w:p>
    <w:p w:rsidR="00005103" w:rsidRPr="00AE325B" w:rsidRDefault="00005103" w:rsidP="000467EA">
      <w:pPr>
        <w:spacing w:after="0" w:line="240" w:lineRule="auto"/>
        <w:jc w:val="both"/>
        <w:rPr>
          <w:rFonts w:cs="Times New Roman"/>
          <w:b/>
          <w:bCs/>
        </w:rPr>
      </w:pPr>
      <w:r w:rsidRPr="00AE325B">
        <w:rPr>
          <w:rFonts w:cs="Times New Roman"/>
          <w:b/>
          <w:bCs/>
        </w:rPr>
        <w:t>Success Evaluation</w:t>
      </w:r>
    </w:p>
    <w:p w:rsidR="00005103" w:rsidRPr="00AE325B" w:rsidRDefault="001726C5" w:rsidP="000467EA">
      <w:pPr>
        <w:spacing w:after="0" w:line="240" w:lineRule="auto"/>
        <w:jc w:val="both"/>
        <w:rPr>
          <w:rFonts w:cs="Times New Roman"/>
        </w:rPr>
      </w:pPr>
      <w:r w:rsidRPr="00AE325B">
        <w:rPr>
          <w:rFonts w:cs="Times New Roman"/>
          <w:b/>
        </w:rPr>
        <w:t xml:space="preserve">ARTICLE </w:t>
      </w:r>
      <w:r w:rsidR="00005103" w:rsidRPr="00AE325B">
        <w:rPr>
          <w:rFonts w:cs="Times New Roman"/>
          <w:b/>
        </w:rPr>
        <w:t xml:space="preserve"> 13 - (1)</w:t>
      </w:r>
      <w:r w:rsidR="00005103" w:rsidRPr="00AE325B">
        <w:rPr>
          <w:rFonts w:cs="Times New Roman"/>
        </w:rPr>
        <w:t xml:space="preserve"> The grade of the courses taken in summer education is shown in the section opened under the name of Summer Education in the transcripts.</w:t>
      </w:r>
    </w:p>
    <w:p w:rsidR="00CC7877" w:rsidRPr="00424E22" w:rsidRDefault="00CC7877" w:rsidP="000467EA">
      <w:pPr>
        <w:spacing w:after="0" w:line="240" w:lineRule="auto"/>
        <w:jc w:val="both"/>
        <w:rPr>
          <w:rFonts w:cs="Times New Roman"/>
        </w:rPr>
      </w:pPr>
      <w:r w:rsidRPr="00424E22">
        <w:rPr>
          <w:rFonts w:cs="Times New Roman"/>
          <w:b/>
        </w:rPr>
        <w:t>(2)</w:t>
      </w:r>
      <w:r w:rsidRPr="00424E22">
        <w:rPr>
          <w:rFonts w:cs="Times New Roman"/>
        </w:rPr>
        <w:t xml:space="preserve"> Students can retake the courses they have succeeded in order to increase their grade point average. The higher of the success grades of the course / courses taken are recorded in their transcripts.</w:t>
      </w:r>
    </w:p>
    <w:p w:rsidR="0035559B" w:rsidRPr="00424E22" w:rsidRDefault="00424E22" w:rsidP="000467EA">
      <w:pPr>
        <w:spacing w:after="0" w:line="240" w:lineRule="auto"/>
        <w:jc w:val="both"/>
        <w:rPr>
          <w:rFonts w:cs="Times New Roman"/>
          <w:bCs/>
        </w:rPr>
      </w:pPr>
      <w:r w:rsidRPr="00424E22">
        <w:rPr>
          <w:rFonts w:cs="Times New Roman"/>
          <w:b/>
          <w:bCs/>
        </w:rPr>
        <w:t xml:space="preserve"> </w:t>
      </w:r>
      <w:r w:rsidR="0035559B" w:rsidRPr="00424E22">
        <w:rPr>
          <w:rFonts w:cs="Times New Roman"/>
          <w:b/>
          <w:bCs/>
        </w:rPr>
        <w:t>(3)</w:t>
      </w:r>
      <w:r w:rsidR="0035559B" w:rsidRPr="00424E22">
        <w:rPr>
          <w:rFonts w:cs="Times New Roman"/>
          <w:bCs/>
        </w:rPr>
        <w:t xml:space="preserve"> Make-up exam is not done in summer education.</w:t>
      </w:r>
    </w:p>
    <w:p w:rsidR="00067092" w:rsidRPr="00A44338" w:rsidRDefault="00067092" w:rsidP="000467EA">
      <w:pPr>
        <w:spacing w:after="0" w:line="240" w:lineRule="auto"/>
        <w:jc w:val="both"/>
        <w:rPr>
          <w:rFonts w:cs="Times New Roman"/>
        </w:rPr>
      </w:pPr>
      <w:r w:rsidRPr="00A44338">
        <w:rPr>
          <w:rFonts w:cs="Times New Roman"/>
          <w:b/>
        </w:rPr>
        <w:t>(4)</w:t>
      </w:r>
      <w:r w:rsidRPr="00A44338">
        <w:rPr>
          <w:rFonts w:cs="Times New Roman"/>
        </w:rPr>
        <w:t xml:space="preserve"> The student, who </w:t>
      </w:r>
      <w:r w:rsidR="00A44338" w:rsidRPr="00A44338">
        <w:rPr>
          <w:rFonts w:cs="Times New Roman"/>
        </w:rPr>
        <w:t>has not been able to</w:t>
      </w:r>
      <w:r w:rsidRPr="00A44338">
        <w:rPr>
          <w:rFonts w:cs="Times New Roman"/>
        </w:rPr>
        <w:t xml:space="preserve"> enter the final exams due to his excuse, submits the document indicating his excuse to the deanship or directorate of the academic unit to which he / she is affiliated within three days following the end of the exams. The relevant Board of Directors may grant </w:t>
      </w:r>
      <w:r w:rsidR="00A44338" w:rsidRPr="00A44338">
        <w:rPr>
          <w:rFonts w:cs="Times New Roman"/>
        </w:rPr>
        <w:t>make-up exam</w:t>
      </w:r>
      <w:r w:rsidRPr="00A44338">
        <w:rPr>
          <w:rFonts w:cs="Times New Roman"/>
        </w:rPr>
        <w:t xml:space="preserve"> right for the relevant course to the students who report their excuse within due time and based on justified and valid reasons. Make-up exams are held on the dates determined by the relevant Board of Directors. Health-related excuses must be documented with a medical report from health institutions.</w:t>
      </w:r>
    </w:p>
    <w:p w:rsidR="00067092" w:rsidRPr="00EA66B4" w:rsidRDefault="00EA66B4" w:rsidP="000467EA">
      <w:pPr>
        <w:spacing w:after="0" w:line="240" w:lineRule="auto"/>
        <w:jc w:val="both"/>
        <w:rPr>
          <w:rFonts w:cs="Times New Roman"/>
        </w:rPr>
      </w:pPr>
      <w:r w:rsidRPr="00EA66B4">
        <w:rPr>
          <w:rFonts w:cs="Times New Roman"/>
          <w:b/>
        </w:rPr>
        <w:t xml:space="preserve"> </w:t>
      </w:r>
      <w:r w:rsidR="00067092" w:rsidRPr="00EA66B4">
        <w:rPr>
          <w:rFonts w:cs="Times New Roman"/>
          <w:b/>
        </w:rPr>
        <w:t>(5)</w:t>
      </w:r>
      <w:r w:rsidR="00067092" w:rsidRPr="00EA66B4">
        <w:rPr>
          <w:rFonts w:cs="Times New Roman"/>
        </w:rPr>
        <w:t xml:space="preserve"> The evaluation of the courses opened by summer education is made according to the provisions of </w:t>
      </w:r>
      <w:proofErr w:type="spellStart"/>
      <w:r w:rsidR="00067092" w:rsidRPr="00EA66B4">
        <w:rPr>
          <w:rFonts w:cs="Times New Roman"/>
        </w:rPr>
        <w:t>Beykoz</w:t>
      </w:r>
      <w:proofErr w:type="spellEnd"/>
      <w:r w:rsidR="00067092" w:rsidRPr="00EA66B4">
        <w:rPr>
          <w:rFonts w:cs="Times New Roman"/>
        </w:rPr>
        <w:t xml:space="preserve"> University Undergraduate-Associate Degree Education-Training Regulation and </w:t>
      </w:r>
      <w:proofErr w:type="spellStart"/>
      <w:r w:rsidR="00067092" w:rsidRPr="00EA66B4">
        <w:rPr>
          <w:rFonts w:cs="Times New Roman"/>
        </w:rPr>
        <w:t>Beykoz</w:t>
      </w:r>
      <w:proofErr w:type="spellEnd"/>
      <w:r w:rsidR="00067092" w:rsidRPr="00EA66B4">
        <w:rPr>
          <w:rFonts w:cs="Times New Roman"/>
        </w:rPr>
        <w:t xml:space="preserve"> University Postgraduate Education-Education Regulation.</w:t>
      </w:r>
    </w:p>
    <w:p w:rsidR="00067092" w:rsidRPr="00052DAB" w:rsidRDefault="00067092" w:rsidP="00436DA8">
      <w:pPr>
        <w:jc w:val="both"/>
      </w:pPr>
    </w:p>
    <w:p w:rsidR="009F74A7" w:rsidRPr="0019723E" w:rsidRDefault="00067092" w:rsidP="0019723E">
      <w:pPr>
        <w:spacing w:after="0" w:line="240" w:lineRule="auto"/>
        <w:rPr>
          <w:rFonts w:cs="Times New Roman"/>
        </w:rPr>
      </w:pPr>
      <w:r w:rsidRPr="00407A1E">
        <w:rPr>
          <w:rFonts w:cs="Times New Roman"/>
          <w:b/>
          <w:bCs/>
        </w:rPr>
        <w:t>Fees</w:t>
      </w:r>
      <w:r w:rsidRPr="00052DAB">
        <w:br/>
      </w:r>
      <w:r w:rsidR="001726C5" w:rsidRPr="00407A1E">
        <w:rPr>
          <w:rFonts w:cs="Times New Roman"/>
          <w:b/>
        </w:rPr>
        <w:t xml:space="preserve">ARTICLE </w:t>
      </w:r>
      <w:r w:rsidRPr="00407A1E">
        <w:rPr>
          <w:rFonts w:cs="Times New Roman"/>
          <w:b/>
        </w:rPr>
        <w:t xml:space="preserve"> 14 - (1)</w:t>
      </w:r>
      <w:r w:rsidRPr="00407A1E">
        <w:rPr>
          <w:rFonts w:cs="Times New Roman"/>
        </w:rPr>
        <w:t xml:space="preserve"> Summer course fees are determined on a credit basis. Fees on credit basis are the fees determined by the Board of Trustees for the relevant academic year.</w:t>
      </w:r>
      <w:r w:rsidRPr="0019723E">
        <w:rPr>
          <w:rFonts w:cs="Times New Roman"/>
        </w:rPr>
        <w:br/>
      </w:r>
      <w:r w:rsidRPr="0019723E">
        <w:rPr>
          <w:rFonts w:cs="Times New Roman"/>
          <w:b/>
        </w:rPr>
        <w:t>(2)</w:t>
      </w:r>
      <w:r w:rsidRPr="0019723E">
        <w:rPr>
          <w:rFonts w:cs="Times New Roman"/>
        </w:rPr>
        <w:t xml:space="preserve"> Summer education is paid, including scholarship students.</w:t>
      </w:r>
      <w:r w:rsidR="009F74A7" w:rsidRPr="0019723E">
        <w:rPr>
          <w:rFonts w:cs="Times New Roman"/>
        </w:rPr>
        <w:br/>
      </w:r>
      <w:r w:rsidR="009F74A7" w:rsidRPr="0019723E">
        <w:rPr>
          <w:rFonts w:cs="Times New Roman"/>
          <w:b/>
        </w:rPr>
        <w:t>(3)</w:t>
      </w:r>
      <w:r w:rsidR="009F74A7" w:rsidRPr="00407A1E">
        <w:rPr>
          <w:rFonts w:cs="Times New Roman"/>
        </w:rPr>
        <w:t xml:space="preserve"> Students who </w:t>
      </w:r>
      <w:proofErr w:type="spellStart"/>
      <w:r w:rsidR="009F74A7" w:rsidRPr="00407A1E">
        <w:rPr>
          <w:rFonts w:cs="Times New Roman"/>
        </w:rPr>
        <w:t>enroll</w:t>
      </w:r>
      <w:proofErr w:type="spellEnd"/>
      <w:r w:rsidR="009F74A7" w:rsidRPr="00407A1E">
        <w:rPr>
          <w:rFonts w:cs="Times New Roman"/>
        </w:rPr>
        <w:t xml:space="preserve"> in summer education will be reimbursed for the courses not opened. The fees paid by students who </w:t>
      </w:r>
      <w:proofErr w:type="spellStart"/>
      <w:r w:rsidR="009F74A7" w:rsidRPr="00407A1E">
        <w:rPr>
          <w:rFonts w:cs="Times New Roman"/>
        </w:rPr>
        <w:t>enroll</w:t>
      </w:r>
      <w:proofErr w:type="spellEnd"/>
      <w:r w:rsidR="009F74A7" w:rsidRPr="00407A1E">
        <w:rPr>
          <w:rFonts w:cs="Times New Roman"/>
        </w:rPr>
        <w:t xml:space="preserve"> in the courses opened are not refundable regardless of attendance.</w:t>
      </w:r>
    </w:p>
    <w:p w:rsidR="00407A1E" w:rsidRPr="0019723E" w:rsidRDefault="00407A1E" w:rsidP="0019723E">
      <w:pPr>
        <w:rPr>
          <w:rFonts w:cs="Times New Roman"/>
        </w:rPr>
      </w:pPr>
    </w:p>
    <w:p w:rsidR="008E1455" w:rsidRPr="000467EA" w:rsidRDefault="008E1455" w:rsidP="0019723E">
      <w:pPr>
        <w:spacing w:after="0" w:line="240" w:lineRule="auto"/>
        <w:rPr>
          <w:rFonts w:cs="Times New Roman"/>
          <w:b/>
          <w:bCs/>
        </w:rPr>
      </w:pPr>
      <w:r w:rsidRPr="00052DAB">
        <w:br/>
      </w:r>
      <w:r w:rsidRPr="00407A1E">
        <w:rPr>
          <w:rFonts w:cs="Times New Roman"/>
          <w:b/>
          <w:bCs/>
        </w:rPr>
        <w:t>Cases without provisions in the Directive</w:t>
      </w:r>
      <w:r w:rsidRPr="00052DAB">
        <w:br/>
      </w:r>
      <w:r w:rsidR="001726C5" w:rsidRPr="00407A1E">
        <w:rPr>
          <w:rFonts w:cs="Times New Roman"/>
          <w:b/>
        </w:rPr>
        <w:t xml:space="preserve">ARTICLE </w:t>
      </w:r>
      <w:r w:rsidRPr="00407A1E">
        <w:rPr>
          <w:rFonts w:cs="Times New Roman"/>
          <w:b/>
        </w:rPr>
        <w:t xml:space="preserve"> 15 - (1)</w:t>
      </w:r>
      <w:r w:rsidRPr="00407A1E">
        <w:rPr>
          <w:rFonts w:cs="Times New Roman"/>
        </w:rPr>
        <w:t xml:space="preserve"> In cases where there is no provision in this Directive, </w:t>
      </w:r>
      <w:proofErr w:type="spellStart"/>
      <w:r w:rsidRPr="00407A1E">
        <w:rPr>
          <w:rFonts w:cs="Times New Roman"/>
        </w:rPr>
        <w:t>Beykoz</w:t>
      </w:r>
      <w:proofErr w:type="spellEnd"/>
      <w:r w:rsidRPr="00407A1E">
        <w:rPr>
          <w:rFonts w:cs="Times New Roman"/>
        </w:rPr>
        <w:t xml:space="preserve"> University Undergraduate-Associate Degree Education-Training Regulation, </w:t>
      </w:r>
      <w:proofErr w:type="spellStart"/>
      <w:r w:rsidRPr="00407A1E">
        <w:rPr>
          <w:rFonts w:cs="Times New Roman"/>
        </w:rPr>
        <w:t>Beykoz</w:t>
      </w:r>
      <w:proofErr w:type="spellEnd"/>
      <w:r w:rsidRPr="00407A1E">
        <w:rPr>
          <w:rFonts w:cs="Times New Roman"/>
        </w:rPr>
        <w:t xml:space="preserve"> University Postgraduate Education Regulation, the relevant legislative provisions of the Higher Education Council, the relevant regulations and directives of </w:t>
      </w:r>
      <w:proofErr w:type="spellStart"/>
      <w:r w:rsidRPr="00407A1E">
        <w:rPr>
          <w:rFonts w:cs="Times New Roman"/>
        </w:rPr>
        <w:t>Beykoz</w:t>
      </w:r>
      <w:proofErr w:type="spellEnd"/>
      <w:r w:rsidRPr="00407A1E">
        <w:rPr>
          <w:rFonts w:cs="Times New Roman"/>
        </w:rPr>
        <w:t xml:space="preserve"> University, and the Senate and University Administration Board decisions are implemented.</w:t>
      </w:r>
    </w:p>
    <w:p w:rsidR="000467EA" w:rsidRDefault="000467EA" w:rsidP="000467EA">
      <w:pPr>
        <w:spacing w:line="240" w:lineRule="auto"/>
        <w:jc w:val="both"/>
        <w:rPr>
          <w:rFonts w:cs="Times New Roman"/>
          <w:b/>
        </w:rPr>
      </w:pPr>
    </w:p>
    <w:p w:rsidR="001B3D78" w:rsidRDefault="00C43DE1" w:rsidP="000467EA">
      <w:pPr>
        <w:rPr>
          <w:rFonts w:cs="Times New Roman"/>
          <w:b/>
        </w:rPr>
      </w:pPr>
      <w:r w:rsidRPr="00407A1E">
        <w:rPr>
          <w:rFonts w:cs="Times New Roman"/>
          <w:b/>
        </w:rPr>
        <w:t>Repealed</w:t>
      </w:r>
      <w:r w:rsidR="00407A1E" w:rsidRPr="00407A1E">
        <w:rPr>
          <w:rFonts w:cs="Times New Roman"/>
          <w:b/>
        </w:rPr>
        <w:t xml:space="preserve"> </w:t>
      </w:r>
      <w:r w:rsidR="00407A1E" w:rsidRPr="00407A1E">
        <w:rPr>
          <w:b/>
          <w:color w:val="222222"/>
        </w:rPr>
        <w:t>regulation</w:t>
      </w:r>
      <w:r w:rsidRPr="00052DAB">
        <w:br/>
      </w:r>
      <w:r w:rsidR="001726C5" w:rsidRPr="00407A1E">
        <w:rPr>
          <w:rFonts w:cs="Times New Roman"/>
          <w:b/>
        </w:rPr>
        <w:t xml:space="preserve">ARTICLE </w:t>
      </w:r>
      <w:r w:rsidRPr="00407A1E">
        <w:rPr>
          <w:rFonts w:cs="Times New Roman"/>
          <w:b/>
        </w:rPr>
        <w:t xml:space="preserve"> 10- (1)</w:t>
      </w:r>
      <w:r w:rsidRPr="00407A1E">
        <w:rPr>
          <w:rFonts w:cs="Times New Roman"/>
        </w:rPr>
        <w:t xml:space="preserve"> The Vocational School Summer School Directive adopted by the Senate decision dated 04/05/2017 and numbered 2017/6 has been repealed.</w:t>
      </w:r>
      <w:r w:rsidRPr="00052DAB">
        <w:br/>
      </w:r>
    </w:p>
    <w:p w:rsidR="00C43DE1" w:rsidRPr="00407A1E" w:rsidRDefault="001726C5" w:rsidP="000467EA">
      <w:pPr>
        <w:rPr>
          <w:rFonts w:cs="Times New Roman"/>
          <w:b/>
        </w:rPr>
      </w:pPr>
      <w:r w:rsidRPr="00407A1E">
        <w:rPr>
          <w:rFonts w:cs="Times New Roman"/>
          <w:b/>
        </w:rPr>
        <w:t xml:space="preserve">ARTICLE </w:t>
      </w:r>
      <w:r w:rsidR="00C43DE1" w:rsidRPr="00407A1E">
        <w:rPr>
          <w:rFonts w:cs="Times New Roman"/>
          <w:b/>
        </w:rPr>
        <w:t xml:space="preserve"> 10- (1)</w:t>
      </w:r>
      <w:r w:rsidR="00C43DE1" w:rsidRPr="00407A1E">
        <w:rPr>
          <w:rFonts w:cs="Times New Roman"/>
        </w:rPr>
        <w:t xml:space="preserve"> The Vocational School Summer School Directive adopted by the Senate decision dated 04/05/2017 and numbered 2017/6 has been repealed.</w:t>
      </w:r>
    </w:p>
    <w:p w:rsidR="00C43DE1" w:rsidRPr="00407A1E" w:rsidRDefault="00C43DE1" w:rsidP="000467EA">
      <w:pPr>
        <w:spacing w:after="0" w:line="240" w:lineRule="auto"/>
        <w:jc w:val="both"/>
        <w:rPr>
          <w:rFonts w:cs="Times New Roman"/>
          <w:b/>
        </w:rPr>
      </w:pPr>
      <w:r w:rsidRPr="00052DAB">
        <w:br/>
      </w:r>
      <w:r w:rsidRPr="00407A1E">
        <w:rPr>
          <w:rFonts w:cs="Times New Roman"/>
          <w:b/>
        </w:rPr>
        <w:t>Force</w:t>
      </w:r>
    </w:p>
    <w:p w:rsidR="00407A1E" w:rsidRPr="000467EA" w:rsidRDefault="001726C5" w:rsidP="000467EA">
      <w:pPr>
        <w:spacing w:after="0" w:line="240" w:lineRule="auto"/>
        <w:jc w:val="both"/>
        <w:rPr>
          <w:rFonts w:cs="Times New Roman"/>
        </w:rPr>
      </w:pPr>
      <w:r w:rsidRPr="00407A1E">
        <w:rPr>
          <w:rFonts w:cs="Times New Roman"/>
          <w:b/>
        </w:rPr>
        <w:t xml:space="preserve">ARTICLE </w:t>
      </w:r>
      <w:r w:rsidR="00C43DE1" w:rsidRPr="00407A1E">
        <w:rPr>
          <w:rFonts w:cs="Times New Roman"/>
          <w:b/>
        </w:rPr>
        <w:t xml:space="preserve"> 16- (1)</w:t>
      </w:r>
      <w:r w:rsidR="00C43DE1" w:rsidRPr="00407A1E">
        <w:rPr>
          <w:rFonts w:cs="Times New Roman"/>
        </w:rPr>
        <w:t xml:space="preserve"> This Directive comes into force on the date of its publication.</w:t>
      </w:r>
    </w:p>
    <w:p w:rsidR="000467EA" w:rsidRDefault="000467EA" w:rsidP="00436DA8">
      <w:pPr>
        <w:jc w:val="both"/>
        <w:rPr>
          <w:b/>
          <w:color w:val="222222"/>
        </w:rPr>
      </w:pPr>
    </w:p>
    <w:p w:rsidR="00C43DE1" w:rsidRPr="00407A1E" w:rsidRDefault="00407A1E" w:rsidP="00436DA8">
      <w:pPr>
        <w:jc w:val="both"/>
        <w:rPr>
          <w:b/>
          <w:color w:val="222222"/>
        </w:rPr>
      </w:pPr>
      <w:r w:rsidRPr="00407A1E">
        <w:rPr>
          <w:b/>
          <w:color w:val="222222"/>
        </w:rPr>
        <w:t>Execution</w:t>
      </w:r>
      <w:r w:rsidR="00C43DE1" w:rsidRPr="00052DAB">
        <w:br/>
      </w:r>
      <w:r w:rsidR="001726C5" w:rsidRPr="00407A1E">
        <w:rPr>
          <w:rFonts w:cs="Times New Roman"/>
          <w:b/>
          <w:bCs/>
        </w:rPr>
        <w:t xml:space="preserve">ARTICLE </w:t>
      </w:r>
      <w:r w:rsidR="00C43DE1" w:rsidRPr="00407A1E">
        <w:rPr>
          <w:rFonts w:cs="Times New Roman"/>
          <w:b/>
          <w:bCs/>
        </w:rPr>
        <w:t xml:space="preserve"> 17 - (1) </w:t>
      </w:r>
      <w:r w:rsidR="00C43DE1" w:rsidRPr="00407A1E">
        <w:rPr>
          <w:rFonts w:cs="Times New Roman"/>
          <w:bCs/>
        </w:rPr>
        <w:t xml:space="preserve">This Directive is executed by the Rector of </w:t>
      </w:r>
      <w:proofErr w:type="spellStart"/>
      <w:r w:rsidR="00C43DE1" w:rsidRPr="00407A1E">
        <w:rPr>
          <w:rFonts w:cs="Times New Roman"/>
          <w:bCs/>
        </w:rPr>
        <w:t>Beykoz</w:t>
      </w:r>
      <w:proofErr w:type="spellEnd"/>
      <w:r w:rsidR="00C43DE1" w:rsidRPr="00407A1E">
        <w:rPr>
          <w:rFonts w:cs="Times New Roman"/>
          <w:bCs/>
        </w:rPr>
        <w:t xml:space="preserve"> University.</w:t>
      </w:r>
    </w:p>
    <w:sectPr w:rsidR="00C43DE1" w:rsidRPr="00407A1E" w:rsidSect="00E8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7FC0"/>
    <w:multiLevelType w:val="hybridMultilevel"/>
    <w:tmpl w:val="BE1868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5D0D9C"/>
    <w:multiLevelType w:val="hybridMultilevel"/>
    <w:tmpl w:val="931035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26D1DC9"/>
    <w:multiLevelType w:val="hybridMultilevel"/>
    <w:tmpl w:val="E73A4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D85C47"/>
    <w:multiLevelType w:val="hybridMultilevel"/>
    <w:tmpl w:val="340CC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7021F4"/>
    <w:multiLevelType w:val="hybridMultilevel"/>
    <w:tmpl w:val="B7B0F8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59"/>
    <w:rsid w:val="00005103"/>
    <w:rsid w:val="000467EA"/>
    <w:rsid w:val="00052DAB"/>
    <w:rsid w:val="00067092"/>
    <w:rsid w:val="00075BE7"/>
    <w:rsid w:val="00081393"/>
    <w:rsid w:val="00093FD1"/>
    <w:rsid w:val="000E5E43"/>
    <w:rsid w:val="001726C5"/>
    <w:rsid w:val="0017529B"/>
    <w:rsid w:val="0019723E"/>
    <w:rsid w:val="001B319F"/>
    <w:rsid w:val="001B3D78"/>
    <w:rsid w:val="001C336A"/>
    <w:rsid w:val="001D2B28"/>
    <w:rsid w:val="00206BC5"/>
    <w:rsid w:val="00296244"/>
    <w:rsid w:val="002A30B8"/>
    <w:rsid w:val="0035559B"/>
    <w:rsid w:val="003940B6"/>
    <w:rsid w:val="003A1488"/>
    <w:rsid w:val="00400A03"/>
    <w:rsid w:val="00407A1E"/>
    <w:rsid w:val="00424E22"/>
    <w:rsid w:val="00436DA8"/>
    <w:rsid w:val="00502B8F"/>
    <w:rsid w:val="0052701E"/>
    <w:rsid w:val="00644652"/>
    <w:rsid w:val="00732DF2"/>
    <w:rsid w:val="00796C59"/>
    <w:rsid w:val="007C4E8D"/>
    <w:rsid w:val="00815CC6"/>
    <w:rsid w:val="008B7CE9"/>
    <w:rsid w:val="008E1455"/>
    <w:rsid w:val="00953493"/>
    <w:rsid w:val="00977B6A"/>
    <w:rsid w:val="009F74A7"/>
    <w:rsid w:val="00A44338"/>
    <w:rsid w:val="00AB6EC7"/>
    <w:rsid w:val="00AD3118"/>
    <w:rsid w:val="00AE325B"/>
    <w:rsid w:val="00B06239"/>
    <w:rsid w:val="00B10B04"/>
    <w:rsid w:val="00B2517D"/>
    <w:rsid w:val="00B45597"/>
    <w:rsid w:val="00BA37D7"/>
    <w:rsid w:val="00C20A41"/>
    <w:rsid w:val="00C40749"/>
    <w:rsid w:val="00C40765"/>
    <w:rsid w:val="00C43DE1"/>
    <w:rsid w:val="00C96B9F"/>
    <w:rsid w:val="00CA008D"/>
    <w:rsid w:val="00CB33D7"/>
    <w:rsid w:val="00CC7877"/>
    <w:rsid w:val="00DC07FC"/>
    <w:rsid w:val="00DD0F7A"/>
    <w:rsid w:val="00E11E0F"/>
    <w:rsid w:val="00E8753D"/>
    <w:rsid w:val="00EA66B4"/>
    <w:rsid w:val="00EE4C6A"/>
    <w:rsid w:val="00EE7547"/>
    <w:rsid w:val="00F21853"/>
    <w:rsid w:val="00F33362"/>
    <w:rsid w:val="00F44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2F65"/>
  <w15:docId w15:val="{2869D106-8BE5-4730-A619-06B54AD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753D"/>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6C59"/>
    <w:pPr>
      <w:autoSpaceDE w:val="0"/>
      <w:autoSpaceDN w:val="0"/>
      <w:adjustRightInd w:val="0"/>
      <w:spacing w:after="0" w:line="240" w:lineRule="auto"/>
    </w:pPr>
    <w:rPr>
      <w:rFonts w:ascii="Calibri" w:hAnsi="Calibri" w:cs="Calibri"/>
      <w:color w:val="000000"/>
      <w:sz w:val="24"/>
      <w:szCs w:val="24"/>
    </w:rPr>
  </w:style>
  <w:style w:type="paragraph" w:styleId="HTMLncedenBiimlendirilmi">
    <w:name w:val="HTML Preformatted"/>
    <w:basedOn w:val="Normal"/>
    <w:link w:val="HTMLncedenBiimlendirilmiChar"/>
    <w:uiPriority w:val="99"/>
    <w:unhideWhenUsed/>
    <w:rsid w:val="00DC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DC07FC"/>
    <w:rPr>
      <w:rFonts w:ascii="Courier New" w:eastAsia="Times New Roman" w:hAnsi="Courier New" w:cs="Courier New"/>
      <w:sz w:val="20"/>
      <w:szCs w:val="20"/>
      <w:lang w:eastAsia="tr-TR"/>
    </w:rPr>
  </w:style>
  <w:style w:type="paragraph" w:styleId="ListeParagraf">
    <w:name w:val="List Paragraph"/>
    <w:basedOn w:val="Normal"/>
    <w:uiPriority w:val="34"/>
    <w:qFormat/>
    <w:rsid w:val="0017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283">
      <w:bodyDiv w:val="1"/>
      <w:marLeft w:val="0"/>
      <w:marRight w:val="0"/>
      <w:marTop w:val="0"/>
      <w:marBottom w:val="0"/>
      <w:divBdr>
        <w:top w:val="none" w:sz="0" w:space="0" w:color="auto"/>
        <w:left w:val="none" w:sz="0" w:space="0" w:color="auto"/>
        <w:bottom w:val="none" w:sz="0" w:space="0" w:color="auto"/>
        <w:right w:val="none" w:sz="0" w:space="0" w:color="auto"/>
      </w:divBdr>
    </w:div>
    <w:div w:id="62728584">
      <w:bodyDiv w:val="1"/>
      <w:marLeft w:val="0"/>
      <w:marRight w:val="0"/>
      <w:marTop w:val="0"/>
      <w:marBottom w:val="0"/>
      <w:divBdr>
        <w:top w:val="none" w:sz="0" w:space="0" w:color="auto"/>
        <w:left w:val="none" w:sz="0" w:space="0" w:color="auto"/>
        <w:bottom w:val="none" w:sz="0" w:space="0" w:color="auto"/>
        <w:right w:val="none" w:sz="0" w:space="0" w:color="auto"/>
      </w:divBdr>
    </w:div>
    <w:div w:id="72777637">
      <w:bodyDiv w:val="1"/>
      <w:marLeft w:val="0"/>
      <w:marRight w:val="0"/>
      <w:marTop w:val="0"/>
      <w:marBottom w:val="0"/>
      <w:divBdr>
        <w:top w:val="none" w:sz="0" w:space="0" w:color="auto"/>
        <w:left w:val="none" w:sz="0" w:space="0" w:color="auto"/>
        <w:bottom w:val="none" w:sz="0" w:space="0" w:color="auto"/>
        <w:right w:val="none" w:sz="0" w:space="0" w:color="auto"/>
      </w:divBdr>
    </w:div>
    <w:div w:id="118230814">
      <w:bodyDiv w:val="1"/>
      <w:marLeft w:val="0"/>
      <w:marRight w:val="0"/>
      <w:marTop w:val="0"/>
      <w:marBottom w:val="0"/>
      <w:divBdr>
        <w:top w:val="none" w:sz="0" w:space="0" w:color="auto"/>
        <w:left w:val="none" w:sz="0" w:space="0" w:color="auto"/>
        <w:bottom w:val="none" w:sz="0" w:space="0" w:color="auto"/>
        <w:right w:val="none" w:sz="0" w:space="0" w:color="auto"/>
      </w:divBdr>
    </w:div>
    <w:div w:id="162353559">
      <w:bodyDiv w:val="1"/>
      <w:marLeft w:val="0"/>
      <w:marRight w:val="0"/>
      <w:marTop w:val="0"/>
      <w:marBottom w:val="0"/>
      <w:divBdr>
        <w:top w:val="none" w:sz="0" w:space="0" w:color="auto"/>
        <w:left w:val="none" w:sz="0" w:space="0" w:color="auto"/>
        <w:bottom w:val="none" w:sz="0" w:space="0" w:color="auto"/>
        <w:right w:val="none" w:sz="0" w:space="0" w:color="auto"/>
      </w:divBdr>
    </w:div>
    <w:div w:id="186872048">
      <w:bodyDiv w:val="1"/>
      <w:marLeft w:val="0"/>
      <w:marRight w:val="0"/>
      <w:marTop w:val="0"/>
      <w:marBottom w:val="0"/>
      <w:divBdr>
        <w:top w:val="none" w:sz="0" w:space="0" w:color="auto"/>
        <w:left w:val="none" w:sz="0" w:space="0" w:color="auto"/>
        <w:bottom w:val="none" w:sz="0" w:space="0" w:color="auto"/>
        <w:right w:val="none" w:sz="0" w:space="0" w:color="auto"/>
      </w:divBdr>
    </w:div>
    <w:div w:id="232394984">
      <w:bodyDiv w:val="1"/>
      <w:marLeft w:val="0"/>
      <w:marRight w:val="0"/>
      <w:marTop w:val="0"/>
      <w:marBottom w:val="0"/>
      <w:divBdr>
        <w:top w:val="none" w:sz="0" w:space="0" w:color="auto"/>
        <w:left w:val="none" w:sz="0" w:space="0" w:color="auto"/>
        <w:bottom w:val="none" w:sz="0" w:space="0" w:color="auto"/>
        <w:right w:val="none" w:sz="0" w:space="0" w:color="auto"/>
      </w:divBdr>
    </w:div>
    <w:div w:id="325715467">
      <w:bodyDiv w:val="1"/>
      <w:marLeft w:val="0"/>
      <w:marRight w:val="0"/>
      <w:marTop w:val="0"/>
      <w:marBottom w:val="0"/>
      <w:divBdr>
        <w:top w:val="none" w:sz="0" w:space="0" w:color="auto"/>
        <w:left w:val="none" w:sz="0" w:space="0" w:color="auto"/>
        <w:bottom w:val="none" w:sz="0" w:space="0" w:color="auto"/>
        <w:right w:val="none" w:sz="0" w:space="0" w:color="auto"/>
      </w:divBdr>
      <w:divsChild>
        <w:div w:id="1896234602">
          <w:marLeft w:val="-240"/>
          <w:marRight w:val="-240"/>
          <w:marTop w:val="0"/>
          <w:marBottom w:val="0"/>
          <w:divBdr>
            <w:top w:val="none" w:sz="0" w:space="0" w:color="auto"/>
            <w:left w:val="none" w:sz="0" w:space="0" w:color="auto"/>
            <w:bottom w:val="none" w:sz="0" w:space="0" w:color="auto"/>
            <w:right w:val="none" w:sz="0" w:space="0" w:color="auto"/>
          </w:divBdr>
          <w:divsChild>
            <w:div w:id="1785615849">
              <w:marLeft w:val="0"/>
              <w:marRight w:val="0"/>
              <w:marTop w:val="0"/>
              <w:marBottom w:val="0"/>
              <w:divBdr>
                <w:top w:val="none" w:sz="0" w:space="0" w:color="auto"/>
                <w:left w:val="none" w:sz="0" w:space="0" w:color="auto"/>
                <w:bottom w:val="none" w:sz="0" w:space="0" w:color="auto"/>
                <w:right w:val="none" w:sz="0" w:space="0" w:color="auto"/>
              </w:divBdr>
              <w:divsChild>
                <w:div w:id="7178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96676">
      <w:bodyDiv w:val="1"/>
      <w:marLeft w:val="0"/>
      <w:marRight w:val="0"/>
      <w:marTop w:val="0"/>
      <w:marBottom w:val="0"/>
      <w:divBdr>
        <w:top w:val="none" w:sz="0" w:space="0" w:color="auto"/>
        <w:left w:val="none" w:sz="0" w:space="0" w:color="auto"/>
        <w:bottom w:val="none" w:sz="0" w:space="0" w:color="auto"/>
        <w:right w:val="none" w:sz="0" w:space="0" w:color="auto"/>
      </w:divBdr>
    </w:div>
    <w:div w:id="631247691">
      <w:bodyDiv w:val="1"/>
      <w:marLeft w:val="0"/>
      <w:marRight w:val="0"/>
      <w:marTop w:val="0"/>
      <w:marBottom w:val="0"/>
      <w:divBdr>
        <w:top w:val="none" w:sz="0" w:space="0" w:color="auto"/>
        <w:left w:val="none" w:sz="0" w:space="0" w:color="auto"/>
        <w:bottom w:val="none" w:sz="0" w:space="0" w:color="auto"/>
        <w:right w:val="none" w:sz="0" w:space="0" w:color="auto"/>
      </w:divBdr>
    </w:div>
    <w:div w:id="787090857">
      <w:bodyDiv w:val="1"/>
      <w:marLeft w:val="0"/>
      <w:marRight w:val="0"/>
      <w:marTop w:val="0"/>
      <w:marBottom w:val="0"/>
      <w:divBdr>
        <w:top w:val="none" w:sz="0" w:space="0" w:color="auto"/>
        <w:left w:val="none" w:sz="0" w:space="0" w:color="auto"/>
        <w:bottom w:val="none" w:sz="0" w:space="0" w:color="auto"/>
        <w:right w:val="none" w:sz="0" w:space="0" w:color="auto"/>
      </w:divBdr>
    </w:div>
    <w:div w:id="867836650">
      <w:bodyDiv w:val="1"/>
      <w:marLeft w:val="0"/>
      <w:marRight w:val="0"/>
      <w:marTop w:val="0"/>
      <w:marBottom w:val="0"/>
      <w:divBdr>
        <w:top w:val="none" w:sz="0" w:space="0" w:color="auto"/>
        <w:left w:val="none" w:sz="0" w:space="0" w:color="auto"/>
        <w:bottom w:val="none" w:sz="0" w:space="0" w:color="auto"/>
        <w:right w:val="none" w:sz="0" w:space="0" w:color="auto"/>
      </w:divBdr>
    </w:div>
    <w:div w:id="907882523">
      <w:bodyDiv w:val="1"/>
      <w:marLeft w:val="0"/>
      <w:marRight w:val="0"/>
      <w:marTop w:val="0"/>
      <w:marBottom w:val="0"/>
      <w:divBdr>
        <w:top w:val="none" w:sz="0" w:space="0" w:color="auto"/>
        <w:left w:val="none" w:sz="0" w:space="0" w:color="auto"/>
        <w:bottom w:val="none" w:sz="0" w:space="0" w:color="auto"/>
        <w:right w:val="none" w:sz="0" w:space="0" w:color="auto"/>
      </w:divBdr>
    </w:div>
    <w:div w:id="972950261">
      <w:bodyDiv w:val="1"/>
      <w:marLeft w:val="0"/>
      <w:marRight w:val="0"/>
      <w:marTop w:val="0"/>
      <w:marBottom w:val="0"/>
      <w:divBdr>
        <w:top w:val="none" w:sz="0" w:space="0" w:color="auto"/>
        <w:left w:val="none" w:sz="0" w:space="0" w:color="auto"/>
        <w:bottom w:val="none" w:sz="0" w:space="0" w:color="auto"/>
        <w:right w:val="none" w:sz="0" w:space="0" w:color="auto"/>
      </w:divBdr>
    </w:div>
    <w:div w:id="1039010387">
      <w:bodyDiv w:val="1"/>
      <w:marLeft w:val="0"/>
      <w:marRight w:val="0"/>
      <w:marTop w:val="0"/>
      <w:marBottom w:val="0"/>
      <w:divBdr>
        <w:top w:val="none" w:sz="0" w:space="0" w:color="auto"/>
        <w:left w:val="none" w:sz="0" w:space="0" w:color="auto"/>
        <w:bottom w:val="none" w:sz="0" w:space="0" w:color="auto"/>
        <w:right w:val="none" w:sz="0" w:space="0" w:color="auto"/>
      </w:divBdr>
    </w:div>
    <w:div w:id="1069419850">
      <w:bodyDiv w:val="1"/>
      <w:marLeft w:val="0"/>
      <w:marRight w:val="0"/>
      <w:marTop w:val="0"/>
      <w:marBottom w:val="0"/>
      <w:divBdr>
        <w:top w:val="none" w:sz="0" w:space="0" w:color="auto"/>
        <w:left w:val="none" w:sz="0" w:space="0" w:color="auto"/>
        <w:bottom w:val="none" w:sz="0" w:space="0" w:color="auto"/>
        <w:right w:val="none" w:sz="0" w:space="0" w:color="auto"/>
      </w:divBdr>
    </w:div>
    <w:div w:id="1110472297">
      <w:bodyDiv w:val="1"/>
      <w:marLeft w:val="0"/>
      <w:marRight w:val="0"/>
      <w:marTop w:val="0"/>
      <w:marBottom w:val="0"/>
      <w:divBdr>
        <w:top w:val="none" w:sz="0" w:space="0" w:color="auto"/>
        <w:left w:val="none" w:sz="0" w:space="0" w:color="auto"/>
        <w:bottom w:val="none" w:sz="0" w:space="0" w:color="auto"/>
        <w:right w:val="none" w:sz="0" w:space="0" w:color="auto"/>
      </w:divBdr>
    </w:div>
    <w:div w:id="1126654741">
      <w:bodyDiv w:val="1"/>
      <w:marLeft w:val="0"/>
      <w:marRight w:val="0"/>
      <w:marTop w:val="0"/>
      <w:marBottom w:val="0"/>
      <w:divBdr>
        <w:top w:val="none" w:sz="0" w:space="0" w:color="auto"/>
        <w:left w:val="none" w:sz="0" w:space="0" w:color="auto"/>
        <w:bottom w:val="none" w:sz="0" w:space="0" w:color="auto"/>
        <w:right w:val="none" w:sz="0" w:space="0" w:color="auto"/>
      </w:divBdr>
    </w:div>
    <w:div w:id="1217888217">
      <w:bodyDiv w:val="1"/>
      <w:marLeft w:val="0"/>
      <w:marRight w:val="0"/>
      <w:marTop w:val="0"/>
      <w:marBottom w:val="0"/>
      <w:divBdr>
        <w:top w:val="none" w:sz="0" w:space="0" w:color="auto"/>
        <w:left w:val="none" w:sz="0" w:space="0" w:color="auto"/>
        <w:bottom w:val="none" w:sz="0" w:space="0" w:color="auto"/>
        <w:right w:val="none" w:sz="0" w:space="0" w:color="auto"/>
      </w:divBdr>
    </w:div>
    <w:div w:id="1252273319">
      <w:bodyDiv w:val="1"/>
      <w:marLeft w:val="0"/>
      <w:marRight w:val="0"/>
      <w:marTop w:val="0"/>
      <w:marBottom w:val="0"/>
      <w:divBdr>
        <w:top w:val="none" w:sz="0" w:space="0" w:color="auto"/>
        <w:left w:val="none" w:sz="0" w:space="0" w:color="auto"/>
        <w:bottom w:val="none" w:sz="0" w:space="0" w:color="auto"/>
        <w:right w:val="none" w:sz="0" w:space="0" w:color="auto"/>
      </w:divBdr>
    </w:div>
    <w:div w:id="1274480937">
      <w:bodyDiv w:val="1"/>
      <w:marLeft w:val="0"/>
      <w:marRight w:val="0"/>
      <w:marTop w:val="0"/>
      <w:marBottom w:val="0"/>
      <w:divBdr>
        <w:top w:val="none" w:sz="0" w:space="0" w:color="auto"/>
        <w:left w:val="none" w:sz="0" w:space="0" w:color="auto"/>
        <w:bottom w:val="none" w:sz="0" w:space="0" w:color="auto"/>
        <w:right w:val="none" w:sz="0" w:space="0" w:color="auto"/>
      </w:divBdr>
    </w:div>
    <w:div w:id="1290011148">
      <w:bodyDiv w:val="1"/>
      <w:marLeft w:val="0"/>
      <w:marRight w:val="0"/>
      <w:marTop w:val="0"/>
      <w:marBottom w:val="0"/>
      <w:divBdr>
        <w:top w:val="none" w:sz="0" w:space="0" w:color="auto"/>
        <w:left w:val="none" w:sz="0" w:space="0" w:color="auto"/>
        <w:bottom w:val="none" w:sz="0" w:space="0" w:color="auto"/>
        <w:right w:val="none" w:sz="0" w:space="0" w:color="auto"/>
      </w:divBdr>
    </w:div>
    <w:div w:id="1333603895">
      <w:bodyDiv w:val="1"/>
      <w:marLeft w:val="0"/>
      <w:marRight w:val="0"/>
      <w:marTop w:val="0"/>
      <w:marBottom w:val="0"/>
      <w:divBdr>
        <w:top w:val="none" w:sz="0" w:space="0" w:color="auto"/>
        <w:left w:val="none" w:sz="0" w:space="0" w:color="auto"/>
        <w:bottom w:val="none" w:sz="0" w:space="0" w:color="auto"/>
        <w:right w:val="none" w:sz="0" w:space="0" w:color="auto"/>
      </w:divBdr>
    </w:div>
    <w:div w:id="1337540127">
      <w:bodyDiv w:val="1"/>
      <w:marLeft w:val="0"/>
      <w:marRight w:val="0"/>
      <w:marTop w:val="0"/>
      <w:marBottom w:val="0"/>
      <w:divBdr>
        <w:top w:val="none" w:sz="0" w:space="0" w:color="auto"/>
        <w:left w:val="none" w:sz="0" w:space="0" w:color="auto"/>
        <w:bottom w:val="none" w:sz="0" w:space="0" w:color="auto"/>
        <w:right w:val="none" w:sz="0" w:space="0" w:color="auto"/>
      </w:divBdr>
    </w:div>
    <w:div w:id="1402749566">
      <w:bodyDiv w:val="1"/>
      <w:marLeft w:val="0"/>
      <w:marRight w:val="0"/>
      <w:marTop w:val="0"/>
      <w:marBottom w:val="0"/>
      <w:divBdr>
        <w:top w:val="none" w:sz="0" w:space="0" w:color="auto"/>
        <w:left w:val="none" w:sz="0" w:space="0" w:color="auto"/>
        <w:bottom w:val="none" w:sz="0" w:space="0" w:color="auto"/>
        <w:right w:val="none" w:sz="0" w:space="0" w:color="auto"/>
      </w:divBdr>
    </w:div>
    <w:div w:id="1415979382">
      <w:bodyDiv w:val="1"/>
      <w:marLeft w:val="0"/>
      <w:marRight w:val="0"/>
      <w:marTop w:val="0"/>
      <w:marBottom w:val="0"/>
      <w:divBdr>
        <w:top w:val="none" w:sz="0" w:space="0" w:color="auto"/>
        <w:left w:val="none" w:sz="0" w:space="0" w:color="auto"/>
        <w:bottom w:val="none" w:sz="0" w:space="0" w:color="auto"/>
        <w:right w:val="none" w:sz="0" w:space="0" w:color="auto"/>
      </w:divBdr>
    </w:div>
    <w:div w:id="1552186869">
      <w:bodyDiv w:val="1"/>
      <w:marLeft w:val="0"/>
      <w:marRight w:val="0"/>
      <w:marTop w:val="0"/>
      <w:marBottom w:val="0"/>
      <w:divBdr>
        <w:top w:val="none" w:sz="0" w:space="0" w:color="auto"/>
        <w:left w:val="none" w:sz="0" w:space="0" w:color="auto"/>
        <w:bottom w:val="none" w:sz="0" w:space="0" w:color="auto"/>
        <w:right w:val="none" w:sz="0" w:space="0" w:color="auto"/>
      </w:divBdr>
    </w:div>
    <w:div w:id="1583416022">
      <w:bodyDiv w:val="1"/>
      <w:marLeft w:val="0"/>
      <w:marRight w:val="0"/>
      <w:marTop w:val="0"/>
      <w:marBottom w:val="0"/>
      <w:divBdr>
        <w:top w:val="none" w:sz="0" w:space="0" w:color="auto"/>
        <w:left w:val="none" w:sz="0" w:space="0" w:color="auto"/>
        <w:bottom w:val="none" w:sz="0" w:space="0" w:color="auto"/>
        <w:right w:val="none" w:sz="0" w:space="0" w:color="auto"/>
      </w:divBdr>
    </w:div>
    <w:div w:id="1589532745">
      <w:bodyDiv w:val="1"/>
      <w:marLeft w:val="0"/>
      <w:marRight w:val="0"/>
      <w:marTop w:val="0"/>
      <w:marBottom w:val="0"/>
      <w:divBdr>
        <w:top w:val="none" w:sz="0" w:space="0" w:color="auto"/>
        <w:left w:val="none" w:sz="0" w:space="0" w:color="auto"/>
        <w:bottom w:val="none" w:sz="0" w:space="0" w:color="auto"/>
        <w:right w:val="none" w:sz="0" w:space="0" w:color="auto"/>
      </w:divBdr>
    </w:div>
    <w:div w:id="1654986003">
      <w:bodyDiv w:val="1"/>
      <w:marLeft w:val="0"/>
      <w:marRight w:val="0"/>
      <w:marTop w:val="0"/>
      <w:marBottom w:val="0"/>
      <w:divBdr>
        <w:top w:val="none" w:sz="0" w:space="0" w:color="auto"/>
        <w:left w:val="none" w:sz="0" w:space="0" w:color="auto"/>
        <w:bottom w:val="none" w:sz="0" w:space="0" w:color="auto"/>
        <w:right w:val="none" w:sz="0" w:space="0" w:color="auto"/>
      </w:divBdr>
    </w:div>
    <w:div w:id="1713921857">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69816042">
      <w:bodyDiv w:val="1"/>
      <w:marLeft w:val="0"/>
      <w:marRight w:val="0"/>
      <w:marTop w:val="0"/>
      <w:marBottom w:val="0"/>
      <w:divBdr>
        <w:top w:val="none" w:sz="0" w:space="0" w:color="auto"/>
        <w:left w:val="none" w:sz="0" w:space="0" w:color="auto"/>
        <w:bottom w:val="none" w:sz="0" w:space="0" w:color="auto"/>
        <w:right w:val="none" w:sz="0" w:space="0" w:color="auto"/>
      </w:divBdr>
    </w:div>
    <w:div w:id="1980186633">
      <w:bodyDiv w:val="1"/>
      <w:marLeft w:val="0"/>
      <w:marRight w:val="0"/>
      <w:marTop w:val="0"/>
      <w:marBottom w:val="0"/>
      <w:divBdr>
        <w:top w:val="none" w:sz="0" w:space="0" w:color="auto"/>
        <w:left w:val="none" w:sz="0" w:space="0" w:color="auto"/>
        <w:bottom w:val="none" w:sz="0" w:space="0" w:color="auto"/>
        <w:right w:val="none" w:sz="0" w:space="0" w:color="auto"/>
      </w:divBdr>
    </w:div>
    <w:div w:id="2021000858">
      <w:bodyDiv w:val="1"/>
      <w:marLeft w:val="0"/>
      <w:marRight w:val="0"/>
      <w:marTop w:val="0"/>
      <w:marBottom w:val="0"/>
      <w:divBdr>
        <w:top w:val="none" w:sz="0" w:space="0" w:color="auto"/>
        <w:left w:val="none" w:sz="0" w:space="0" w:color="auto"/>
        <w:bottom w:val="none" w:sz="0" w:space="0" w:color="auto"/>
        <w:right w:val="none" w:sz="0" w:space="0" w:color="auto"/>
      </w:divBdr>
    </w:div>
    <w:div w:id="2035885270">
      <w:bodyDiv w:val="1"/>
      <w:marLeft w:val="0"/>
      <w:marRight w:val="0"/>
      <w:marTop w:val="0"/>
      <w:marBottom w:val="0"/>
      <w:divBdr>
        <w:top w:val="none" w:sz="0" w:space="0" w:color="auto"/>
        <w:left w:val="none" w:sz="0" w:space="0" w:color="auto"/>
        <w:bottom w:val="none" w:sz="0" w:space="0" w:color="auto"/>
        <w:right w:val="none" w:sz="0" w:space="0" w:color="auto"/>
      </w:divBdr>
    </w:div>
    <w:div w:id="2040205345">
      <w:bodyDiv w:val="1"/>
      <w:marLeft w:val="0"/>
      <w:marRight w:val="0"/>
      <w:marTop w:val="0"/>
      <w:marBottom w:val="0"/>
      <w:divBdr>
        <w:top w:val="none" w:sz="0" w:space="0" w:color="auto"/>
        <w:left w:val="none" w:sz="0" w:space="0" w:color="auto"/>
        <w:bottom w:val="none" w:sz="0" w:space="0" w:color="auto"/>
        <w:right w:val="none" w:sz="0" w:space="0" w:color="auto"/>
      </w:divBdr>
    </w:div>
    <w:div w:id="2094743383">
      <w:bodyDiv w:val="1"/>
      <w:marLeft w:val="0"/>
      <w:marRight w:val="0"/>
      <w:marTop w:val="0"/>
      <w:marBottom w:val="0"/>
      <w:divBdr>
        <w:top w:val="none" w:sz="0" w:space="0" w:color="auto"/>
        <w:left w:val="none" w:sz="0" w:space="0" w:color="auto"/>
        <w:bottom w:val="none" w:sz="0" w:space="0" w:color="auto"/>
        <w:right w:val="none" w:sz="0" w:space="0" w:color="auto"/>
      </w:divBdr>
    </w:div>
    <w:div w:id="2124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1758</Words>
  <Characters>10021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Serpil Süer</cp:lastModifiedBy>
  <cp:revision>3</cp:revision>
  <dcterms:created xsi:type="dcterms:W3CDTF">2020-06-10T08:19:00Z</dcterms:created>
  <dcterms:modified xsi:type="dcterms:W3CDTF">2020-06-10T08:32:00Z</dcterms:modified>
</cp:coreProperties>
</file>